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22ACB" w14:textId="77777777" w:rsidR="00EA3707" w:rsidRDefault="00EA3707" w:rsidP="00EA3707">
      <w:pPr>
        <w:suppressLineNumbers/>
        <w:jc w:val="center"/>
        <w:rPr>
          <w:rFonts w:ascii="Arial" w:eastAsia="Calibri" w:hAnsi="Arial" w:cs="Arial"/>
          <w:b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12" w:color="auto" w:fill="auto"/>
        <w:tblLayout w:type="fixed"/>
        <w:tblLook w:val="0000" w:firstRow="0" w:lastRow="0" w:firstColumn="0" w:lastColumn="0" w:noHBand="0" w:noVBand="0"/>
      </w:tblPr>
      <w:tblGrid>
        <w:gridCol w:w="1908"/>
        <w:gridCol w:w="189"/>
        <w:gridCol w:w="873"/>
        <w:gridCol w:w="1278"/>
        <w:gridCol w:w="90"/>
        <w:gridCol w:w="540"/>
        <w:gridCol w:w="810"/>
        <w:gridCol w:w="1350"/>
        <w:gridCol w:w="360"/>
        <w:gridCol w:w="2070"/>
      </w:tblGrid>
      <w:tr w:rsidR="00EA3707" w:rsidRPr="004B2929" w14:paraId="77A5BBEC" w14:textId="77777777" w:rsidTr="00CA5B7A">
        <w:tc>
          <w:tcPr>
            <w:tcW w:w="1908" w:type="dxa"/>
            <w:shd w:val="pct12" w:color="auto" w:fill="auto"/>
          </w:tcPr>
          <w:p w14:paraId="3470ACFA" w14:textId="77777777" w:rsidR="00EA3707" w:rsidRPr="00047FC0" w:rsidRDefault="00EA3707" w:rsidP="00CA5B7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/>
              <w:rPr>
                <w:rFonts w:ascii="Arial" w:eastAsia="Times New Roman" w:hAnsi="Arial" w:cs="Arial"/>
                <w:color w:val="000000"/>
                <w:sz w:val="22"/>
                <w:szCs w:val="20"/>
              </w:rPr>
            </w:pPr>
            <w:r w:rsidRPr="00047FC0">
              <w:rPr>
                <w:rFonts w:ascii="Arial" w:eastAsia="Times New Roman" w:hAnsi="Arial" w:cs="Arial"/>
                <w:color w:val="000000"/>
                <w:sz w:val="22"/>
                <w:szCs w:val="20"/>
              </w:rPr>
              <w:t>Resolution No.</w:t>
            </w:r>
          </w:p>
        </w:tc>
        <w:tc>
          <w:tcPr>
            <w:tcW w:w="2430" w:type="dxa"/>
            <w:gridSpan w:val="4"/>
            <w:shd w:val="pct12" w:color="auto" w:fill="auto"/>
          </w:tcPr>
          <w:p w14:paraId="61A8B6C7" w14:textId="52CDB754" w:rsidR="00EA3707" w:rsidRPr="00047FC0" w:rsidRDefault="00047FC0" w:rsidP="00CA5B7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/>
              <w:rPr>
                <w:rFonts w:ascii="Arial" w:eastAsia="Times New Roman" w:hAnsi="Arial" w:cs="Arial"/>
                <w:color w:val="000000"/>
                <w:sz w:val="22"/>
                <w:szCs w:val="20"/>
              </w:rPr>
            </w:pPr>
            <w:r w:rsidRPr="00047FC0">
              <w:rPr>
                <w:rFonts w:ascii="Arial" w:eastAsia="Times New Roman" w:hAnsi="Arial" w:cs="Arial"/>
                <w:color w:val="000000"/>
                <w:sz w:val="22"/>
                <w:szCs w:val="20"/>
              </w:rPr>
              <w:t>1</w:t>
            </w:r>
            <w:r w:rsidR="00864E1D">
              <w:rPr>
                <w:rFonts w:ascii="Arial" w:eastAsia="Times New Roman" w:hAnsi="Arial" w:cs="Arial"/>
                <w:color w:val="000000"/>
                <w:sz w:val="22"/>
                <w:szCs w:val="20"/>
              </w:rPr>
              <w:t>7</w:t>
            </w:r>
          </w:p>
        </w:tc>
        <w:tc>
          <w:tcPr>
            <w:tcW w:w="1350" w:type="dxa"/>
            <w:gridSpan w:val="2"/>
            <w:shd w:val="pct12" w:color="auto" w:fill="auto"/>
          </w:tcPr>
          <w:p w14:paraId="2078E6D5" w14:textId="77777777" w:rsidR="00EA3707" w:rsidRPr="004B2929" w:rsidRDefault="00EA3707" w:rsidP="00CA5B7A">
            <w:pPr>
              <w:tabs>
                <w:tab w:val="left" w:pos="687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/>
              <w:ind w:left="72" w:hanging="7"/>
              <w:rPr>
                <w:rFonts w:ascii="Arial" w:eastAsia="Times New Roman" w:hAnsi="Arial" w:cs="Arial"/>
                <w:color w:val="000000"/>
                <w:sz w:val="22"/>
                <w:szCs w:val="20"/>
              </w:rPr>
            </w:pPr>
            <w:r w:rsidRPr="004B2929">
              <w:rPr>
                <w:rFonts w:ascii="Arial" w:eastAsia="Times New Roman" w:hAnsi="Arial" w:cs="Arial"/>
                <w:color w:val="000000"/>
                <w:sz w:val="22"/>
                <w:szCs w:val="20"/>
              </w:rPr>
              <w:t xml:space="preserve">New </w:t>
            </w:r>
            <w:r w:rsidRPr="004B2929">
              <w:rPr>
                <w:rFonts w:ascii="Arial" w:eastAsia="Times New Roman" w:hAnsi="Arial" w:cs="Arial"/>
                <w:color w:val="000000"/>
                <w:sz w:val="22"/>
                <w:szCs w:val="20"/>
              </w:rPr>
              <w:sym w:font="Wingdings" w:char="F06E"/>
            </w:r>
          </w:p>
        </w:tc>
        <w:tc>
          <w:tcPr>
            <w:tcW w:w="1710" w:type="dxa"/>
            <w:gridSpan w:val="2"/>
            <w:shd w:val="pct12" w:color="auto" w:fill="auto"/>
          </w:tcPr>
          <w:p w14:paraId="593C3A7E" w14:textId="77777777" w:rsidR="00EA3707" w:rsidRPr="004B2929" w:rsidRDefault="00EA3707" w:rsidP="00CA5B7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/>
              <w:rPr>
                <w:rFonts w:ascii="Arial" w:eastAsia="Times New Roman" w:hAnsi="Arial" w:cs="Arial"/>
                <w:color w:val="000000"/>
                <w:sz w:val="22"/>
                <w:szCs w:val="20"/>
              </w:rPr>
            </w:pPr>
            <w:r w:rsidRPr="004B2929">
              <w:rPr>
                <w:rFonts w:ascii="Arial" w:eastAsia="Times New Roman" w:hAnsi="Arial" w:cs="Arial"/>
                <w:color w:val="000000"/>
                <w:sz w:val="22"/>
                <w:szCs w:val="20"/>
              </w:rPr>
              <w:t xml:space="preserve">Substitute </w:t>
            </w:r>
            <w:r w:rsidRPr="004B2929">
              <w:rPr>
                <w:rFonts w:ascii="Arial" w:eastAsia="Times New Roman" w:hAnsi="Arial" w:cs="Arial"/>
                <w:color w:val="000000"/>
                <w:sz w:val="22"/>
                <w:szCs w:val="20"/>
              </w:rPr>
              <w:sym w:font="Wingdings" w:char="F06F"/>
            </w:r>
          </w:p>
        </w:tc>
        <w:tc>
          <w:tcPr>
            <w:tcW w:w="2070" w:type="dxa"/>
            <w:shd w:val="pct12" w:color="auto" w:fill="auto"/>
          </w:tcPr>
          <w:p w14:paraId="769CC7B1" w14:textId="77777777" w:rsidR="00EA3707" w:rsidRPr="004B2929" w:rsidRDefault="00EA3707" w:rsidP="00CA5B7A">
            <w:pPr>
              <w:tabs>
                <w:tab w:val="left" w:pos="360"/>
                <w:tab w:val="left" w:pos="720"/>
                <w:tab w:val="left" w:pos="108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/>
              <w:ind w:right="-105"/>
              <w:rPr>
                <w:rFonts w:ascii="Arial" w:eastAsia="Times New Roman" w:hAnsi="Arial" w:cs="Arial"/>
                <w:color w:val="000000"/>
                <w:sz w:val="22"/>
                <w:szCs w:val="20"/>
              </w:rPr>
            </w:pPr>
            <w:r w:rsidRPr="004B2929">
              <w:rPr>
                <w:rFonts w:ascii="Arial" w:eastAsia="Times New Roman" w:hAnsi="Arial" w:cs="Arial"/>
                <w:color w:val="000000"/>
                <w:sz w:val="22"/>
                <w:szCs w:val="20"/>
              </w:rPr>
              <w:t xml:space="preserve">Amendment </w:t>
            </w:r>
            <w:r w:rsidRPr="004B2929">
              <w:rPr>
                <w:rFonts w:ascii="Arial" w:eastAsia="Times New Roman" w:hAnsi="Arial" w:cs="Arial"/>
                <w:color w:val="000000"/>
                <w:sz w:val="22"/>
                <w:szCs w:val="20"/>
              </w:rPr>
              <w:sym w:font="Wingdings" w:char="F06F"/>
            </w:r>
          </w:p>
        </w:tc>
      </w:tr>
      <w:tr w:rsidR="00EA3707" w:rsidRPr="004B2929" w14:paraId="29D92A7C" w14:textId="77777777" w:rsidTr="00CA5B7A">
        <w:tc>
          <w:tcPr>
            <w:tcW w:w="1908" w:type="dxa"/>
            <w:shd w:val="pct12" w:color="auto" w:fill="auto"/>
          </w:tcPr>
          <w:p w14:paraId="2C2738DC" w14:textId="77777777" w:rsidR="00EA3707" w:rsidRPr="004B2929" w:rsidRDefault="00EA3707" w:rsidP="00CA5B7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/>
              <w:rPr>
                <w:rFonts w:ascii="Arial" w:eastAsia="Times New Roman" w:hAnsi="Arial" w:cs="Arial"/>
                <w:color w:val="000000"/>
                <w:sz w:val="22"/>
                <w:szCs w:val="20"/>
              </w:rPr>
            </w:pPr>
            <w:r w:rsidRPr="004B2929">
              <w:rPr>
                <w:rFonts w:ascii="Arial" w:eastAsia="Times New Roman" w:hAnsi="Arial" w:cs="Arial"/>
                <w:color w:val="000000"/>
                <w:sz w:val="22"/>
                <w:szCs w:val="20"/>
              </w:rPr>
              <w:t>Submitted By:</w:t>
            </w:r>
          </w:p>
        </w:tc>
        <w:tc>
          <w:tcPr>
            <w:tcW w:w="7560" w:type="dxa"/>
            <w:gridSpan w:val="9"/>
            <w:shd w:val="pct12" w:color="auto" w:fill="auto"/>
          </w:tcPr>
          <w:p w14:paraId="77BD0797" w14:textId="602D2348" w:rsidR="00EA3707" w:rsidRPr="004B2929" w:rsidRDefault="00864E1D" w:rsidP="00DC595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/>
              <w:rPr>
                <w:rFonts w:ascii="Arial" w:eastAsia="Times New Roman" w:hAnsi="Arial" w:cs="Arial"/>
                <w:color w:val="000000"/>
                <w:sz w:val="22"/>
                <w:szCs w:val="20"/>
              </w:rPr>
            </w:pPr>
            <w:r>
              <w:rPr>
                <w:rFonts w:ascii="Arial" w:eastAsia="Times New Roman" w:hAnsi="Arial" w:cs="Arial"/>
                <w:sz w:val="22"/>
                <w:szCs w:val="20"/>
              </w:rPr>
              <w:t>Board of Trustees</w:t>
            </w:r>
          </w:p>
        </w:tc>
      </w:tr>
      <w:tr w:rsidR="00EA3707" w:rsidRPr="004B2929" w14:paraId="75D4F497" w14:textId="77777777" w:rsidTr="00CA5B7A">
        <w:tc>
          <w:tcPr>
            <w:tcW w:w="1908" w:type="dxa"/>
            <w:shd w:val="pct12" w:color="auto" w:fill="auto"/>
          </w:tcPr>
          <w:p w14:paraId="0B3FAFFE" w14:textId="77777777" w:rsidR="00EA3707" w:rsidRPr="004B2929" w:rsidRDefault="00EA3707" w:rsidP="00CA5B7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/>
              <w:rPr>
                <w:rFonts w:ascii="Arial" w:eastAsia="Times New Roman" w:hAnsi="Arial" w:cs="Arial"/>
                <w:color w:val="000000"/>
                <w:sz w:val="22"/>
                <w:szCs w:val="20"/>
              </w:rPr>
            </w:pPr>
            <w:r w:rsidRPr="004B2929">
              <w:rPr>
                <w:rFonts w:ascii="Arial" w:eastAsia="Times New Roman" w:hAnsi="Arial" w:cs="Arial"/>
                <w:color w:val="000000"/>
                <w:sz w:val="22"/>
                <w:szCs w:val="20"/>
              </w:rPr>
              <w:t>Date Submitted:</w:t>
            </w:r>
          </w:p>
        </w:tc>
        <w:tc>
          <w:tcPr>
            <w:tcW w:w="2340" w:type="dxa"/>
            <w:gridSpan w:val="3"/>
            <w:shd w:val="pct12" w:color="auto" w:fill="auto"/>
          </w:tcPr>
          <w:p w14:paraId="254F47B1" w14:textId="65B0D612" w:rsidR="00EA3707" w:rsidRPr="004B2929" w:rsidRDefault="003D77BE" w:rsidP="00C520A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/>
              <w:rPr>
                <w:rFonts w:ascii="Arial" w:eastAsia="Times New Roman" w:hAnsi="Arial" w:cs="Arial"/>
                <w:color w:val="000000"/>
                <w:sz w:val="22"/>
                <w:szCs w:val="20"/>
              </w:rPr>
            </w:pPr>
            <w:r>
              <w:rPr>
                <w:rFonts w:ascii="Arial" w:eastAsia="Times New Roman" w:hAnsi="Arial" w:cs="Arial"/>
                <w:sz w:val="22"/>
                <w:szCs w:val="20"/>
              </w:rPr>
              <w:t xml:space="preserve">April </w:t>
            </w:r>
            <w:r w:rsidR="00864E1D">
              <w:rPr>
                <w:rFonts w:ascii="Arial" w:eastAsia="Times New Roman" w:hAnsi="Arial" w:cs="Arial"/>
                <w:sz w:val="22"/>
                <w:szCs w:val="20"/>
              </w:rPr>
              <w:t>27, 2027</w:t>
            </w:r>
          </w:p>
        </w:tc>
        <w:tc>
          <w:tcPr>
            <w:tcW w:w="3150" w:type="dxa"/>
            <w:gridSpan w:val="5"/>
            <w:shd w:val="pct12" w:color="auto" w:fill="auto"/>
          </w:tcPr>
          <w:p w14:paraId="6D7E0F6A" w14:textId="610A5309" w:rsidR="00EA3707" w:rsidRPr="004B2929" w:rsidRDefault="00EA3707" w:rsidP="00CA5B7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/>
              <w:rPr>
                <w:rFonts w:ascii="Arial" w:eastAsia="Times New Roman" w:hAnsi="Arial" w:cs="Arial"/>
                <w:color w:val="000000"/>
                <w:sz w:val="22"/>
                <w:szCs w:val="20"/>
              </w:rPr>
            </w:pPr>
            <w:r w:rsidRPr="004B2929">
              <w:rPr>
                <w:rFonts w:ascii="Arial" w:eastAsia="Times New Roman" w:hAnsi="Arial" w:cs="Arial"/>
                <w:color w:val="000000"/>
                <w:sz w:val="22"/>
                <w:szCs w:val="20"/>
              </w:rPr>
              <w:t xml:space="preserve">Reference Committee </w:t>
            </w:r>
            <w:r w:rsidR="004A4BB3" w:rsidRPr="004B2929">
              <w:rPr>
                <w:rFonts w:ascii="Arial" w:eastAsia="Times New Roman" w:hAnsi="Arial" w:cs="Arial"/>
                <w:color w:val="000000"/>
                <w:sz w:val="22"/>
                <w:szCs w:val="20"/>
              </w:rPr>
              <w:sym w:font="Wingdings" w:char="F06E"/>
            </w:r>
          </w:p>
        </w:tc>
        <w:tc>
          <w:tcPr>
            <w:tcW w:w="2070" w:type="dxa"/>
            <w:shd w:val="pct12" w:color="auto" w:fill="auto"/>
          </w:tcPr>
          <w:p w14:paraId="1822459A" w14:textId="77777777" w:rsidR="00EA3707" w:rsidRPr="004B2929" w:rsidRDefault="00EA3707" w:rsidP="00CA5B7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/>
              <w:rPr>
                <w:rFonts w:ascii="Arial" w:eastAsia="Times New Roman" w:hAnsi="Arial" w:cs="Arial"/>
                <w:color w:val="000000"/>
                <w:sz w:val="22"/>
                <w:szCs w:val="20"/>
              </w:rPr>
            </w:pPr>
            <w:r w:rsidRPr="004B2929">
              <w:rPr>
                <w:rFonts w:ascii="Arial" w:eastAsia="Times New Roman" w:hAnsi="Arial" w:cs="Arial"/>
                <w:color w:val="000000"/>
                <w:sz w:val="22"/>
                <w:szCs w:val="20"/>
              </w:rPr>
              <w:t>Direct to House</w:t>
            </w:r>
            <w:r>
              <w:rPr>
                <w:rFonts w:ascii="Arial" w:eastAsia="Times New Roman" w:hAnsi="Arial" w:cs="Arial"/>
                <w:color w:val="000000"/>
                <w:sz w:val="22"/>
                <w:szCs w:val="20"/>
              </w:rPr>
              <w:t xml:space="preserve"> </w:t>
            </w:r>
            <w:r w:rsidR="004A4BB3" w:rsidRPr="004B2929">
              <w:rPr>
                <w:rFonts w:ascii="Arial" w:eastAsia="Times New Roman" w:hAnsi="Arial" w:cs="Arial"/>
                <w:color w:val="000000"/>
                <w:sz w:val="22"/>
                <w:szCs w:val="20"/>
              </w:rPr>
              <w:sym w:font="Wingdings" w:char="F06F"/>
            </w:r>
            <w:r w:rsidRPr="004B2929">
              <w:rPr>
                <w:rFonts w:ascii="Arial" w:eastAsia="Times New Roman" w:hAnsi="Arial" w:cs="Arial"/>
                <w:color w:val="000000"/>
                <w:sz w:val="22"/>
                <w:szCs w:val="20"/>
              </w:rPr>
              <w:t xml:space="preserve"> </w:t>
            </w:r>
          </w:p>
        </w:tc>
      </w:tr>
      <w:tr w:rsidR="00EA3707" w:rsidRPr="004B2929" w14:paraId="358961B1" w14:textId="77777777" w:rsidTr="00CA5B7A">
        <w:tc>
          <w:tcPr>
            <w:tcW w:w="2970" w:type="dxa"/>
            <w:gridSpan w:val="3"/>
            <w:shd w:val="pct12" w:color="auto" w:fill="auto"/>
          </w:tcPr>
          <w:p w14:paraId="05B84849" w14:textId="77777777" w:rsidR="00EA3707" w:rsidRPr="004B2929" w:rsidRDefault="00EA3707" w:rsidP="00CA5B7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/>
              <w:rPr>
                <w:rFonts w:ascii="Arial" w:eastAsia="Times New Roman" w:hAnsi="Arial" w:cs="Arial"/>
                <w:color w:val="000000"/>
                <w:sz w:val="22"/>
                <w:szCs w:val="20"/>
              </w:rPr>
            </w:pPr>
            <w:r w:rsidRPr="004B2929">
              <w:rPr>
                <w:rFonts w:ascii="Arial" w:eastAsia="Times New Roman" w:hAnsi="Arial" w:cs="Arial"/>
                <w:color w:val="000000"/>
                <w:sz w:val="22"/>
                <w:szCs w:val="20"/>
              </w:rPr>
              <w:t>Total Financial Implication:</w:t>
            </w:r>
          </w:p>
        </w:tc>
        <w:tc>
          <w:tcPr>
            <w:tcW w:w="6498" w:type="dxa"/>
            <w:gridSpan w:val="7"/>
            <w:shd w:val="pct12" w:color="auto" w:fill="auto"/>
          </w:tcPr>
          <w:p w14:paraId="09B9BCB7" w14:textId="43363B9E" w:rsidR="00EA3707" w:rsidRPr="004B2929" w:rsidRDefault="000E01B3" w:rsidP="00DC5959">
            <w:pPr>
              <w:tabs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/>
              <w:rPr>
                <w:rFonts w:ascii="Arial" w:eastAsia="Times New Roman" w:hAnsi="Arial" w:cs="Arial"/>
                <w:color w:val="000000"/>
                <w:sz w:val="22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0"/>
              </w:rPr>
              <w:t xml:space="preserve">$ </w:t>
            </w:r>
            <w:r w:rsidR="00477CF8">
              <w:rPr>
                <w:rFonts w:ascii="Arial" w:eastAsia="Times New Roman" w:hAnsi="Arial" w:cs="Arial"/>
                <w:color w:val="000000"/>
                <w:sz w:val="22"/>
                <w:szCs w:val="20"/>
              </w:rPr>
              <w:t>none</w:t>
            </w:r>
          </w:p>
        </w:tc>
      </w:tr>
      <w:tr w:rsidR="00EA3707" w:rsidRPr="004B2929" w14:paraId="2FA904CA" w14:textId="77777777" w:rsidTr="00CA5B7A">
        <w:tc>
          <w:tcPr>
            <w:tcW w:w="2097" w:type="dxa"/>
            <w:gridSpan w:val="2"/>
            <w:shd w:val="pct12" w:color="auto" w:fill="auto"/>
          </w:tcPr>
          <w:p w14:paraId="72759964" w14:textId="77777777" w:rsidR="00EA3707" w:rsidRPr="004B2929" w:rsidRDefault="00EA3707" w:rsidP="00CA5B7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/>
              <w:rPr>
                <w:rFonts w:ascii="Arial" w:eastAsia="Times New Roman" w:hAnsi="Arial" w:cs="Arial"/>
                <w:color w:val="000000"/>
                <w:sz w:val="22"/>
                <w:szCs w:val="20"/>
              </w:rPr>
            </w:pPr>
            <w:r w:rsidRPr="004B2929">
              <w:rPr>
                <w:rFonts w:ascii="Arial" w:eastAsia="Times New Roman" w:hAnsi="Arial" w:cs="Arial"/>
                <w:color w:val="000000"/>
                <w:sz w:val="22"/>
                <w:szCs w:val="20"/>
              </w:rPr>
              <w:t xml:space="preserve">Amount One-time </w:t>
            </w:r>
          </w:p>
        </w:tc>
        <w:tc>
          <w:tcPr>
            <w:tcW w:w="2781" w:type="dxa"/>
            <w:gridSpan w:val="4"/>
            <w:shd w:val="pct12" w:color="auto" w:fill="auto"/>
          </w:tcPr>
          <w:p w14:paraId="248A8638" w14:textId="6F3DBDD7" w:rsidR="00EA3707" w:rsidRPr="004B2929" w:rsidRDefault="000E01B3" w:rsidP="004A4BB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/>
              <w:rPr>
                <w:rFonts w:ascii="Arial" w:eastAsia="Times New Roman" w:hAnsi="Arial" w:cs="Arial"/>
                <w:color w:val="000000"/>
                <w:sz w:val="22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0"/>
              </w:rPr>
              <w:t xml:space="preserve">$ </w:t>
            </w:r>
            <w:r w:rsidR="00477CF8">
              <w:rPr>
                <w:rFonts w:ascii="Arial" w:eastAsia="Times New Roman" w:hAnsi="Arial" w:cs="Arial"/>
                <w:color w:val="000000"/>
                <w:sz w:val="22"/>
                <w:szCs w:val="20"/>
              </w:rPr>
              <w:t>none</w:t>
            </w:r>
          </w:p>
        </w:tc>
        <w:tc>
          <w:tcPr>
            <w:tcW w:w="2160" w:type="dxa"/>
            <w:gridSpan w:val="2"/>
            <w:shd w:val="pct12" w:color="auto" w:fill="auto"/>
          </w:tcPr>
          <w:p w14:paraId="714BD39B" w14:textId="77777777" w:rsidR="00EA3707" w:rsidRPr="004B2929" w:rsidRDefault="00EA3707" w:rsidP="00CA5B7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/>
              <w:rPr>
                <w:rFonts w:ascii="Arial" w:eastAsia="Times New Roman" w:hAnsi="Arial" w:cs="Arial"/>
                <w:color w:val="000000"/>
                <w:sz w:val="22"/>
                <w:szCs w:val="20"/>
              </w:rPr>
            </w:pPr>
            <w:r w:rsidRPr="004B2929">
              <w:rPr>
                <w:rFonts w:ascii="Arial" w:eastAsia="Times New Roman" w:hAnsi="Arial" w:cs="Arial"/>
                <w:color w:val="000000"/>
                <w:sz w:val="22"/>
                <w:szCs w:val="20"/>
              </w:rPr>
              <w:t xml:space="preserve">Amount On-going </w:t>
            </w:r>
          </w:p>
        </w:tc>
        <w:tc>
          <w:tcPr>
            <w:tcW w:w="2430" w:type="dxa"/>
            <w:gridSpan w:val="2"/>
            <w:shd w:val="pct12" w:color="auto" w:fill="auto"/>
          </w:tcPr>
          <w:p w14:paraId="0501C32B" w14:textId="77777777" w:rsidR="00EA3707" w:rsidRPr="004B2929" w:rsidRDefault="000E01B3" w:rsidP="00DC595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/>
              <w:rPr>
                <w:rFonts w:ascii="Arial" w:eastAsia="Times New Roman" w:hAnsi="Arial" w:cs="Arial"/>
                <w:color w:val="000000"/>
                <w:sz w:val="22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0"/>
              </w:rPr>
              <w:t>Approx. $ none</w:t>
            </w:r>
          </w:p>
        </w:tc>
      </w:tr>
    </w:tbl>
    <w:p w14:paraId="02298DC2" w14:textId="77777777" w:rsidR="00EA3707" w:rsidRPr="00B87BF1" w:rsidRDefault="00EA3707" w:rsidP="00EA3707">
      <w:pPr>
        <w:suppressLineNumbers/>
        <w:rPr>
          <w:rFonts w:ascii="Arial" w:eastAsia="Calibri" w:hAnsi="Arial" w:cs="Arial"/>
          <w:b/>
          <w:sz w:val="22"/>
        </w:rPr>
      </w:pPr>
    </w:p>
    <w:p w14:paraId="0F2FECD3" w14:textId="1A92D5A5" w:rsidR="00713C98" w:rsidRPr="00B87BF1" w:rsidRDefault="00864E1D" w:rsidP="00713C98">
      <w:pPr>
        <w:suppressLineNumbers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Cs w:val="24"/>
        </w:rPr>
      </w:pPr>
      <w:r w:rsidRPr="00864E1D">
        <w:rPr>
          <w:rFonts w:ascii="Arial" w:eastAsia="Times New Roman" w:hAnsi="Arial" w:cs="Arial"/>
          <w:b/>
          <w:bCs/>
          <w:szCs w:val="24"/>
        </w:rPr>
        <w:t>Medicaid Managed Care Dental Fee Parity</w:t>
      </w:r>
    </w:p>
    <w:p w14:paraId="3C9D079D" w14:textId="77777777" w:rsidR="00713C98" w:rsidRPr="00B87BF1" w:rsidRDefault="00713C98" w:rsidP="00713C98">
      <w:pPr>
        <w:suppressLineNumbers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Cs w:val="24"/>
        </w:rPr>
      </w:pPr>
    </w:p>
    <w:p w14:paraId="3A12A4AB" w14:textId="575344DD" w:rsidR="00864E1D" w:rsidRDefault="00713C98" w:rsidP="00864E1D">
      <w:pPr>
        <w:autoSpaceDE w:val="0"/>
        <w:autoSpaceDN w:val="0"/>
        <w:adjustRightInd w:val="0"/>
        <w:rPr>
          <w:rFonts w:ascii="Arial" w:eastAsia="Times New Roman" w:hAnsi="Arial" w:cs="Arial"/>
          <w:szCs w:val="24"/>
        </w:rPr>
      </w:pPr>
      <w:r w:rsidRPr="00B87BF1">
        <w:rPr>
          <w:rFonts w:ascii="Arial" w:eastAsia="Times New Roman" w:hAnsi="Arial" w:cs="Arial"/>
          <w:b/>
          <w:bCs/>
          <w:szCs w:val="24"/>
        </w:rPr>
        <w:t>Background Statement:</w:t>
      </w:r>
      <w:r w:rsidR="00864E1D" w:rsidRPr="00864E1D">
        <w:t xml:space="preserve"> </w:t>
      </w:r>
      <w:r w:rsidR="00864E1D" w:rsidRPr="00864E1D">
        <w:rPr>
          <w:rFonts w:ascii="Arial" w:eastAsia="Times New Roman" w:hAnsi="Arial" w:cs="Arial"/>
          <w:szCs w:val="24"/>
        </w:rPr>
        <w:t>Access to oral health care remains a persistent challenge for Medicaid beneficiaries in New York</w:t>
      </w:r>
      <w:r w:rsidR="00864E1D">
        <w:rPr>
          <w:rFonts w:ascii="Arial" w:eastAsia="Times New Roman" w:hAnsi="Arial" w:cs="Arial"/>
          <w:szCs w:val="24"/>
        </w:rPr>
        <w:t xml:space="preserve"> </w:t>
      </w:r>
      <w:r w:rsidR="00864E1D" w:rsidRPr="00864E1D">
        <w:rPr>
          <w:rFonts w:ascii="Arial" w:eastAsia="Times New Roman" w:hAnsi="Arial" w:cs="Arial"/>
          <w:szCs w:val="24"/>
        </w:rPr>
        <w:t>State, driven in large part by historically low dental reimbursement rates. Although New York</w:t>
      </w:r>
      <w:r w:rsidR="00864E1D">
        <w:rPr>
          <w:rFonts w:ascii="Arial" w:eastAsia="Times New Roman" w:hAnsi="Arial" w:cs="Arial"/>
          <w:szCs w:val="24"/>
        </w:rPr>
        <w:t xml:space="preserve"> </w:t>
      </w:r>
      <w:r w:rsidR="00864E1D" w:rsidRPr="00864E1D">
        <w:rPr>
          <w:rFonts w:ascii="Arial" w:eastAsia="Times New Roman" w:hAnsi="Arial" w:cs="Arial"/>
          <w:szCs w:val="24"/>
        </w:rPr>
        <w:t>has taken steps in recent years to expand dental benefits and adjust payment methodologies,</w:t>
      </w:r>
      <w:r w:rsidR="00864E1D">
        <w:rPr>
          <w:rFonts w:ascii="Arial" w:eastAsia="Times New Roman" w:hAnsi="Arial" w:cs="Arial"/>
          <w:szCs w:val="24"/>
        </w:rPr>
        <w:t xml:space="preserve"> </w:t>
      </w:r>
      <w:r w:rsidR="00864E1D" w:rsidRPr="00864E1D">
        <w:rPr>
          <w:rFonts w:ascii="Arial" w:eastAsia="Times New Roman" w:hAnsi="Arial" w:cs="Arial"/>
          <w:szCs w:val="24"/>
        </w:rPr>
        <w:t xml:space="preserve">reimbursement levels for many services continue to </w:t>
      </w:r>
      <w:proofErr w:type="gramStart"/>
      <w:r w:rsidR="00864E1D" w:rsidRPr="00864E1D">
        <w:rPr>
          <w:rFonts w:ascii="Arial" w:eastAsia="Times New Roman" w:hAnsi="Arial" w:cs="Arial"/>
          <w:szCs w:val="24"/>
        </w:rPr>
        <w:t>lag behind</w:t>
      </w:r>
      <w:proofErr w:type="gramEnd"/>
      <w:r w:rsidR="00864E1D" w:rsidRPr="00864E1D">
        <w:rPr>
          <w:rFonts w:ascii="Arial" w:eastAsia="Times New Roman" w:hAnsi="Arial" w:cs="Arial"/>
          <w:szCs w:val="24"/>
        </w:rPr>
        <w:t xml:space="preserve"> the actual cost of care.</w:t>
      </w:r>
    </w:p>
    <w:p w14:paraId="0FDDF868" w14:textId="77777777" w:rsidR="00864E1D" w:rsidRPr="00864E1D" w:rsidRDefault="00864E1D" w:rsidP="00864E1D">
      <w:pPr>
        <w:autoSpaceDE w:val="0"/>
        <w:autoSpaceDN w:val="0"/>
        <w:adjustRightInd w:val="0"/>
        <w:rPr>
          <w:rFonts w:ascii="Arial" w:eastAsia="Times New Roman" w:hAnsi="Arial" w:cs="Arial"/>
          <w:szCs w:val="24"/>
        </w:rPr>
      </w:pPr>
    </w:p>
    <w:p w14:paraId="7E50A2BE" w14:textId="25B8DE44" w:rsidR="00864E1D" w:rsidRDefault="00864E1D" w:rsidP="00864E1D">
      <w:pPr>
        <w:autoSpaceDE w:val="0"/>
        <w:autoSpaceDN w:val="0"/>
        <w:adjustRightInd w:val="0"/>
        <w:rPr>
          <w:rFonts w:ascii="Arial" w:eastAsia="Times New Roman" w:hAnsi="Arial" w:cs="Arial"/>
          <w:szCs w:val="24"/>
        </w:rPr>
      </w:pPr>
      <w:r w:rsidRPr="00864E1D">
        <w:rPr>
          <w:rFonts w:ascii="Arial" w:eastAsia="Times New Roman" w:hAnsi="Arial" w:cs="Arial"/>
          <w:szCs w:val="24"/>
        </w:rPr>
        <w:t>These low reimbursement rates have contributed to limited provider participation in Medicaid</w:t>
      </w:r>
      <w:r>
        <w:rPr>
          <w:rFonts w:ascii="Arial" w:eastAsia="Times New Roman" w:hAnsi="Arial" w:cs="Arial"/>
          <w:szCs w:val="24"/>
        </w:rPr>
        <w:t xml:space="preserve"> </w:t>
      </w:r>
      <w:r w:rsidRPr="00864E1D">
        <w:rPr>
          <w:rFonts w:ascii="Arial" w:eastAsia="Times New Roman" w:hAnsi="Arial" w:cs="Arial"/>
          <w:szCs w:val="24"/>
        </w:rPr>
        <w:t>across the state. Many private dental practices are unable to absorb the financial losses associated</w:t>
      </w:r>
      <w:r>
        <w:rPr>
          <w:rFonts w:ascii="Arial" w:eastAsia="Times New Roman" w:hAnsi="Arial" w:cs="Arial"/>
          <w:szCs w:val="24"/>
        </w:rPr>
        <w:t xml:space="preserve"> </w:t>
      </w:r>
      <w:r w:rsidRPr="00864E1D">
        <w:rPr>
          <w:rFonts w:ascii="Arial" w:eastAsia="Times New Roman" w:hAnsi="Arial" w:cs="Arial"/>
          <w:szCs w:val="24"/>
        </w:rPr>
        <w:t>with Medicaid patients, leading to reduced acceptance of Medicaid insurance. As a result,</w:t>
      </w:r>
      <w:r>
        <w:rPr>
          <w:rFonts w:ascii="Arial" w:eastAsia="Times New Roman" w:hAnsi="Arial" w:cs="Arial"/>
          <w:szCs w:val="24"/>
        </w:rPr>
        <w:t xml:space="preserve"> </w:t>
      </w:r>
      <w:r w:rsidRPr="00864E1D">
        <w:rPr>
          <w:rFonts w:ascii="Arial" w:eastAsia="Times New Roman" w:hAnsi="Arial" w:cs="Arial"/>
          <w:szCs w:val="24"/>
        </w:rPr>
        <w:t>patients frequently encounter difficulty locating providers, especially in rural areas and</w:t>
      </w:r>
      <w:r>
        <w:rPr>
          <w:rFonts w:ascii="Arial" w:eastAsia="Times New Roman" w:hAnsi="Arial" w:cs="Arial"/>
          <w:szCs w:val="24"/>
        </w:rPr>
        <w:t xml:space="preserve"> </w:t>
      </w:r>
      <w:r w:rsidRPr="00864E1D">
        <w:rPr>
          <w:rFonts w:ascii="Arial" w:eastAsia="Times New Roman" w:hAnsi="Arial" w:cs="Arial"/>
          <w:szCs w:val="24"/>
        </w:rPr>
        <w:t>underserved urban communities, and often face long wait times or must travel significant</w:t>
      </w:r>
      <w:r>
        <w:rPr>
          <w:rFonts w:ascii="Arial" w:eastAsia="Times New Roman" w:hAnsi="Arial" w:cs="Arial"/>
          <w:szCs w:val="24"/>
        </w:rPr>
        <w:t xml:space="preserve"> </w:t>
      </w:r>
      <w:r w:rsidRPr="00864E1D">
        <w:rPr>
          <w:rFonts w:ascii="Arial" w:eastAsia="Times New Roman" w:hAnsi="Arial" w:cs="Arial"/>
          <w:szCs w:val="24"/>
        </w:rPr>
        <w:t>distances for care.</w:t>
      </w:r>
    </w:p>
    <w:p w14:paraId="7E22A7A5" w14:textId="77777777" w:rsidR="00864E1D" w:rsidRPr="00864E1D" w:rsidRDefault="00864E1D" w:rsidP="00864E1D">
      <w:pPr>
        <w:autoSpaceDE w:val="0"/>
        <w:autoSpaceDN w:val="0"/>
        <w:adjustRightInd w:val="0"/>
        <w:rPr>
          <w:rFonts w:ascii="Arial" w:eastAsia="Times New Roman" w:hAnsi="Arial" w:cs="Arial"/>
          <w:szCs w:val="24"/>
        </w:rPr>
      </w:pPr>
    </w:p>
    <w:p w14:paraId="76803D0B" w14:textId="77777777" w:rsidR="00864E1D" w:rsidRPr="00864E1D" w:rsidRDefault="00864E1D" w:rsidP="00864E1D">
      <w:pPr>
        <w:autoSpaceDE w:val="0"/>
        <w:autoSpaceDN w:val="0"/>
        <w:adjustRightInd w:val="0"/>
        <w:rPr>
          <w:rFonts w:ascii="Arial" w:eastAsia="Times New Roman" w:hAnsi="Arial" w:cs="Arial"/>
          <w:szCs w:val="24"/>
        </w:rPr>
      </w:pPr>
      <w:r w:rsidRPr="00864E1D">
        <w:rPr>
          <w:rFonts w:ascii="Arial" w:eastAsia="Times New Roman" w:hAnsi="Arial" w:cs="Arial"/>
          <w:szCs w:val="24"/>
        </w:rPr>
        <w:t>New York’s reliance on safety-net providers, including federally qualified health centers</w:t>
      </w:r>
    </w:p>
    <w:p w14:paraId="30B2D019" w14:textId="77777777" w:rsidR="00864E1D" w:rsidRPr="00864E1D" w:rsidRDefault="00864E1D" w:rsidP="00864E1D">
      <w:pPr>
        <w:autoSpaceDE w:val="0"/>
        <w:autoSpaceDN w:val="0"/>
        <w:adjustRightInd w:val="0"/>
        <w:rPr>
          <w:rFonts w:ascii="Arial" w:eastAsia="Times New Roman" w:hAnsi="Arial" w:cs="Arial"/>
          <w:szCs w:val="24"/>
        </w:rPr>
      </w:pPr>
      <w:r w:rsidRPr="00864E1D">
        <w:rPr>
          <w:rFonts w:ascii="Arial" w:eastAsia="Times New Roman" w:hAnsi="Arial" w:cs="Arial"/>
          <w:szCs w:val="24"/>
        </w:rPr>
        <w:t>(FQHCs), hospital-based clinics, and academic dental centers, has increased as private</w:t>
      </w:r>
    </w:p>
    <w:p w14:paraId="6E6364F6" w14:textId="78BBF380" w:rsidR="00864E1D" w:rsidRDefault="00864E1D" w:rsidP="00864E1D">
      <w:pPr>
        <w:autoSpaceDE w:val="0"/>
        <w:autoSpaceDN w:val="0"/>
        <w:adjustRightInd w:val="0"/>
        <w:rPr>
          <w:rFonts w:ascii="Arial" w:eastAsia="Times New Roman" w:hAnsi="Arial" w:cs="Arial"/>
          <w:szCs w:val="24"/>
        </w:rPr>
      </w:pPr>
      <w:proofErr w:type="gramStart"/>
      <w:r w:rsidRPr="00864E1D">
        <w:rPr>
          <w:rFonts w:ascii="Arial" w:eastAsia="Times New Roman" w:hAnsi="Arial" w:cs="Arial"/>
          <w:szCs w:val="24"/>
        </w:rPr>
        <w:t>participation</w:t>
      </w:r>
      <w:proofErr w:type="gramEnd"/>
      <w:r w:rsidRPr="00864E1D">
        <w:rPr>
          <w:rFonts w:ascii="Arial" w:eastAsia="Times New Roman" w:hAnsi="Arial" w:cs="Arial"/>
          <w:szCs w:val="24"/>
        </w:rPr>
        <w:t xml:space="preserve"> has declined. While the state has implemented targeted adjustments, such as</w:t>
      </w:r>
      <w:r>
        <w:rPr>
          <w:rFonts w:ascii="Arial" w:eastAsia="Times New Roman" w:hAnsi="Arial" w:cs="Arial"/>
          <w:szCs w:val="24"/>
        </w:rPr>
        <w:t xml:space="preserve"> </w:t>
      </w:r>
      <w:r w:rsidRPr="00864E1D">
        <w:rPr>
          <w:rFonts w:ascii="Arial" w:eastAsia="Times New Roman" w:hAnsi="Arial" w:cs="Arial"/>
          <w:szCs w:val="24"/>
        </w:rPr>
        <w:t>alternative payment methodologies for complex procedures like dental implants and enhanced</w:t>
      </w:r>
      <w:r>
        <w:rPr>
          <w:rFonts w:ascii="Arial" w:eastAsia="Times New Roman" w:hAnsi="Arial" w:cs="Arial"/>
          <w:szCs w:val="24"/>
        </w:rPr>
        <w:t xml:space="preserve"> </w:t>
      </w:r>
      <w:r w:rsidRPr="00864E1D">
        <w:rPr>
          <w:rFonts w:ascii="Arial" w:eastAsia="Times New Roman" w:hAnsi="Arial" w:cs="Arial"/>
          <w:szCs w:val="24"/>
        </w:rPr>
        <w:t>reimbursement for certain high-need populations, these changes are limited in scope and do not</w:t>
      </w:r>
      <w:r>
        <w:rPr>
          <w:rFonts w:ascii="Arial" w:eastAsia="Times New Roman" w:hAnsi="Arial" w:cs="Arial"/>
          <w:szCs w:val="24"/>
        </w:rPr>
        <w:t xml:space="preserve"> </w:t>
      </w:r>
      <w:r w:rsidRPr="00864E1D">
        <w:rPr>
          <w:rFonts w:ascii="Arial" w:eastAsia="Times New Roman" w:hAnsi="Arial" w:cs="Arial"/>
          <w:szCs w:val="24"/>
        </w:rPr>
        <w:t>fully address systemic underpayment.</w:t>
      </w:r>
    </w:p>
    <w:p w14:paraId="1A00BD44" w14:textId="77777777" w:rsidR="00864E1D" w:rsidRPr="00864E1D" w:rsidRDefault="00864E1D" w:rsidP="00864E1D">
      <w:pPr>
        <w:autoSpaceDE w:val="0"/>
        <w:autoSpaceDN w:val="0"/>
        <w:adjustRightInd w:val="0"/>
        <w:rPr>
          <w:rFonts w:ascii="Arial" w:eastAsia="Times New Roman" w:hAnsi="Arial" w:cs="Arial"/>
          <w:szCs w:val="24"/>
        </w:rPr>
      </w:pPr>
    </w:p>
    <w:p w14:paraId="5BCD41C4" w14:textId="34D8076D" w:rsidR="00864E1D" w:rsidRPr="00864E1D" w:rsidRDefault="00864E1D" w:rsidP="00864E1D">
      <w:pPr>
        <w:autoSpaceDE w:val="0"/>
        <w:autoSpaceDN w:val="0"/>
        <w:adjustRightInd w:val="0"/>
        <w:rPr>
          <w:rFonts w:ascii="Arial" w:eastAsia="Times New Roman" w:hAnsi="Arial" w:cs="Arial"/>
          <w:szCs w:val="24"/>
        </w:rPr>
      </w:pPr>
      <w:r w:rsidRPr="00864E1D">
        <w:rPr>
          <w:rFonts w:ascii="Arial" w:eastAsia="Times New Roman" w:hAnsi="Arial" w:cs="Arial"/>
          <w:szCs w:val="24"/>
        </w:rPr>
        <w:t>Currently, almost 80% of New Yorkers with Medicaid are enrolled in a managed care plan.</w:t>
      </w:r>
      <w:r>
        <w:rPr>
          <w:rFonts w:ascii="Arial" w:eastAsia="Times New Roman" w:hAnsi="Arial" w:cs="Arial"/>
          <w:szCs w:val="24"/>
        </w:rPr>
        <w:t xml:space="preserve"> </w:t>
      </w:r>
      <w:r w:rsidRPr="00864E1D">
        <w:rPr>
          <w:rFonts w:ascii="Arial" w:eastAsia="Times New Roman" w:hAnsi="Arial" w:cs="Arial"/>
          <w:szCs w:val="24"/>
        </w:rPr>
        <w:t>Increasing Medicaid managed care reimbursement to providers at a level that meets or exceeds</w:t>
      </w:r>
      <w:r>
        <w:rPr>
          <w:rFonts w:ascii="Arial" w:eastAsia="Times New Roman" w:hAnsi="Arial" w:cs="Arial"/>
          <w:szCs w:val="24"/>
        </w:rPr>
        <w:t xml:space="preserve"> </w:t>
      </w:r>
      <w:r w:rsidRPr="00864E1D">
        <w:rPr>
          <w:rFonts w:ascii="Arial" w:eastAsia="Times New Roman" w:hAnsi="Arial" w:cs="Arial"/>
          <w:szCs w:val="24"/>
        </w:rPr>
        <w:t>Medicaid fee-for-service fees will help to retain current Medicaid dental providers and help to</w:t>
      </w:r>
      <w:r>
        <w:rPr>
          <w:rFonts w:ascii="Arial" w:eastAsia="Times New Roman" w:hAnsi="Arial" w:cs="Arial"/>
          <w:szCs w:val="24"/>
        </w:rPr>
        <w:t xml:space="preserve"> </w:t>
      </w:r>
      <w:r w:rsidRPr="00864E1D">
        <w:rPr>
          <w:rFonts w:ascii="Arial" w:eastAsia="Times New Roman" w:hAnsi="Arial" w:cs="Arial"/>
          <w:szCs w:val="24"/>
        </w:rPr>
        <w:t>recruit new providers. This would potentially improve access to care for these patients.</w:t>
      </w:r>
      <w:r w:rsidRPr="00864E1D">
        <w:rPr>
          <w:rFonts w:ascii="Arial" w:eastAsia="Times New Roman" w:hAnsi="Arial" w:cs="Arial"/>
          <w:szCs w:val="24"/>
        </w:rPr>
        <w:t xml:space="preserve"> </w:t>
      </w:r>
      <w:r w:rsidRPr="00864E1D">
        <w:rPr>
          <w:rFonts w:ascii="Arial" w:eastAsia="Times New Roman" w:hAnsi="Arial" w:cs="Arial"/>
          <w:szCs w:val="24"/>
        </w:rPr>
        <w:t>Addressing low dental reimbursement rates in New York State is critical to strengthening</w:t>
      </w:r>
      <w:r w:rsidRPr="00864E1D">
        <w:rPr>
          <w:rFonts w:ascii="Arial" w:eastAsia="Times New Roman" w:hAnsi="Arial" w:cs="Arial"/>
          <w:szCs w:val="24"/>
        </w:rPr>
        <w:t xml:space="preserve"> </w:t>
      </w:r>
      <w:r w:rsidRPr="00864E1D">
        <w:rPr>
          <w:rFonts w:ascii="Arial" w:eastAsia="Times New Roman" w:hAnsi="Arial" w:cs="Arial"/>
          <w:szCs w:val="24"/>
        </w:rPr>
        <w:t>provider networks, improving timely access to care, and reducing long-term healthcare costs</w:t>
      </w:r>
      <w:r w:rsidRPr="00864E1D">
        <w:rPr>
          <w:rFonts w:ascii="Arial" w:eastAsia="Times New Roman" w:hAnsi="Arial" w:cs="Arial"/>
          <w:szCs w:val="24"/>
        </w:rPr>
        <w:t xml:space="preserve">. </w:t>
      </w:r>
      <w:r w:rsidRPr="00864E1D">
        <w:rPr>
          <w:rFonts w:ascii="Arial" w:eastAsia="Times New Roman" w:hAnsi="Arial" w:cs="Arial"/>
          <w:szCs w:val="24"/>
        </w:rPr>
        <w:t>Ensuring that reimbursement more accurately reflects the cost and complexity of dental services</w:t>
      </w:r>
      <w:r w:rsidRPr="00864E1D">
        <w:rPr>
          <w:rFonts w:ascii="Arial" w:eastAsia="Times New Roman" w:hAnsi="Arial" w:cs="Arial"/>
          <w:szCs w:val="24"/>
        </w:rPr>
        <w:t xml:space="preserve"> </w:t>
      </w:r>
      <w:r w:rsidRPr="00864E1D">
        <w:rPr>
          <w:rFonts w:ascii="Arial" w:eastAsia="Times New Roman" w:hAnsi="Arial" w:cs="Arial"/>
          <w:szCs w:val="24"/>
        </w:rPr>
        <w:t>is a necessary step toward achieving equitable oral health outcomes for all Medicaid</w:t>
      </w:r>
      <w:r w:rsidRPr="00864E1D">
        <w:rPr>
          <w:rFonts w:ascii="Arial" w:eastAsia="Times New Roman" w:hAnsi="Arial" w:cs="Arial"/>
          <w:szCs w:val="24"/>
        </w:rPr>
        <w:t xml:space="preserve"> </w:t>
      </w:r>
      <w:r w:rsidRPr="00864E1D">
        <w:rPr>
          <w:rFonts w:ascii="Arial" w:eastAsia="Times New Roman" w:hAnsi="Arial" w:cs="Arial"/>
          <w:szCs w:val="24"/>
        </w:rPr>
        <w:t>beneficiaries.</w:t>
      </w:r>
    </w:p>
    <w:p w14:paraId="3E289D17" w14:textId="77777777" w:rsidR="00864E1D" w:rsidRPr="00864E1D" w:rsidRDefault="00864E1D" w:rsidP="00864E1D">
      <w:pPr>
        <w:autoSpaceDE w:val="0"/>
        <w:autoSpaceDN w:val="0"/>
        <w:adjustRightInd w:val="0"/>
        <w:rPr>
          <w:rFonts w:ascii="Arial" w:eastAsia="Times New Roman" w:hAnsi="Arial" w:cs="Arial"/>
          <w:szCs w:val="24"/>
        </w:rPr>
      </w:pPr>
    </w:p>
    <w:p w14:paraId="6C60DF08" w14:textId="77777777" w:rsidR="00864E1D" w:rsidRPr="00864E1D" w:rsidRDefault="00864E1D" w:rsidP="00864E1D">
      <w:pPr>
        <w:autoSpaceDE w:val="0"/>
        <w:autoSpaceDN w:val="0"/>
        <w:adjustRightInd w:val="0"/>
        <w:rPr>
          <w:rFonts w:ascii="Arial" w:eastAsia="Times New Roman" w:hAnsi="Arial" w:cs="Arial"/>
          <w:szCs w:val="24"/>
        </w:rPr>
      </w:pPr>
      <w:r w:rsidRPr="00864E1D">
        <w:rPr>
          <w:rFonts w:ascii="Arial" w:eastAsia="Times New Roman" w:hAnsi="Arial" w:cs="Arial"/>
          <w:szCs w:val="24"/>
        </w:rPr>
        <w:t>Accordingly, the following resolution is submitted for consideration:</w:t>
      </w:r>
    </w:p>
    <w:p w14:paraId="5609CD34" w14:textId="77777777" w:rsidR="00864E1D" w:rsidRDefault="00864E1D" w:rsidP="00864E1D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Cs w:val="24"/>
        </w:rPr>
      </w:pPr>
    </w:p>
    <w:p w14:paraId="68DDC505" w14:textId="71611F03" w:rsidR="00684DC7" w:rsidRPr="00B87BF1" w:rsidRDefault="00864E1D" w:rsidP="00864E1D">
      <w:pPr>
        <w:autoSpaceDE w:val="0"/>
        <w:autoSpaceDN w:val="0"/>
        <w:adjustRightInd w:val="0"/>
        <w:ind w:left="720"/>
        <w:rPr>
          <w:rFonts w:ascii="Arial" w:hAnsi="Arial" w:cs="Arial"/>
          <w:szCs w:val="24"/>
        </w:rPr>
      </w:pPr>
      <w:r>
        <w:rPr>
          <w:rFonts w:ascii="Arial" w:eastAsia="Times New Roman" w:hAnsi="Arial" w:cs="Arial"/>
          <w:b/>
          <w:bCs/>
          <w:szCs w:val="24"/>
        </w:rPr>
        <w:lastRenderedPageBreak/>
        <w:t xml:space="preserve">17. </w:t>
      </w:r>
      <w:r w:rsidRPr="00864E1D">
        <w:rPr>
          <w:rFonts w:ascii="Arial" w:eastAsia="Times New Roman" w:hAnsi="Arial" w:cs="Arial"/>
          <w:b/>
          <w:bCs/>
          <w:szCs w:val="24"/>
        </w:rPr>
        <w:t xml:space="preserve">Resolved, </w:t>
      </w:r>
      <w:r w:rsidRPr="00864E1D">
        <w:rPr>
          <w:rFonts w:ascii="Arial" w:eastAsia="Times New Roman" w:hAnsi="Arial" w:cs="Arial"/>
          <w:szCs w:val="24"/>
        </w:rPr>
        <w:t>that NYSDA seek to require that contracts the NYS Department of Health</w:t>
      </w:r>
      <w:r w:rsidRPr="00864E1D">
        <w:rPr>
          <w:rFonts w:ascii="Arial" w:eastAsia="Times New Roman" w:hAnsi="Arial" w:cs="Arial"/>
          <w:szCs w:val="24"/>
        </w:rPr>
        <w:t xml:space="preserve"> </w:t>
      </w:r>
      <w:proofErr w:type="gramStart"/>
      <w:r w:rsidRPr="00864E1D">
        <w:rPr>
          <w:rFonts w:ascii="Arial" w:eastAsia="Times New Roman" w:hAnsi="Arial" w:cs="Arial"/>
          <w:szCs w:val="24"/>
        </w:rPr>
        <w:t>enters into</w:t>
      </w:r>
      <w:proofErr w:type="gramEnd"/>
      <w:r w:rsidRPr="00864E1D">
        <w:rPr>
          <w:rFonts w:ascii="Arial" w:eastAsia="Times New Roman" w:hAnsi="Arial" w:cs="Arial"/>
          <w:szCs w:val="24"/>
        </w:rPr>
        <w:t xml:space="preserve"> with Medicaid managed care organizations (MMCOs) include language that</w:t>
      </w:r>
      <w:r w:rsidRPr="00864E1D">
        <w:rPr>
          <w:rFonts w:ascii="Arial" w:eastAsia="Times New Roman" w:hAnsi="Arial" w:cs="Arial"/>
          <w:szCs w:val="24"/>
        </w:rPr>
        <w:t xml:space="preserve"> </w:t>
      </w:r>
      <w:r w:rsidRPr="00864E1D">
        <w:rPr>
          <w:rFonts w:ascii="Arial" w:eastAsia="Times New Roman" w:hAnsi="Arial" w:cs="Arial"/>
          <w:szCs w:val="24"/>
        </w:rPr>
        <w:t>the MMCO must meet or exceed the current New York State Medicaid fee-for-service</w:t>
      </w:r>
      <w:r w:rsidRPr="00864E1D">
        <w:rPr>
          <w:rFonts w:ascii="Arial" w:eastAsia="Times New Roman" w:hAnsi="Arial" w:cs="Arial"/>
          <w:szCs w:val="24"/>
        </w:rPr>
        <w:t xml:space="preserve"> </w:t>
      </w:r>
      <w:r w:rsidRPr="00864E1D">
        <w:rPr>
          <w:rFonts w:ascii="Arial" w:eastAsia="Times New Roman" w:hAnsi="Arial" w:cs="Arial"/>
          <w:szCs w:val="24"/>
        </w:rPr>
        <w:t>reimbursement for covered dental procedures.</w:t>
      </w:r>
    </w:p>
    <w:sectPr w:rsidR="00684DC7" w:rsidRPr="00B87BF1" w:rsidSect="000D0B9E">
      <w:headerReference w:type="default" r:id="rId7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EC8D4" w14:textId="77777777" w:rsidR="00982EB3" w:rsidRDefault="00982EB3">
      <w:r>
        <w:separator/>
      </w:r>
    </w:p>
  </w:endnote>
  <w:endnote w:type="continuationSeparator" w:id="0">
    <w:p w14:paraId="6700B92C" w14:textId="77777777" w:rsidR="00982EB3" w:rsidRDefault="0098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436FD" w14:textId="77777777" w:rsidR="00982EB3" w:rsidRDefault="00982EB3">
      <w:r>
        <w:separator/>
      </w:r>
    </w:p>
  </w:footnote>
  <w:footnote w:type="continuationSeparator" w:id="0">
    <w:p w14:paraId="509B275C" w14:textId="77777777" w:rsidR="00982EB3" w:rsidRDefault="00982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0651" w14:textId="6A9FBB4C" w:rsidR="00263375" w:rsidRDefault="00477CF8" w:rsidP="00717BB6">
    <w:pPr>
      <w:tabs>
        <w:tab w:val="center" w:pos="4680"/>
        <w:tab w:val="right" w:pos="9360"/>
      </w:tabs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June</w:t>
    </w:r>
    <w:r w:rsidR="00132A5D">
      <w:rPr>
        <w:rFonts w:ascii="Arial" w:hAnsi="Arial" w:cs="Arial"/>
        <w:szCs w:val="24"/>
      </w:rPr>
      <w:t xml:space="preserve"> 202</w:t>
    </w:r>
    <w:r>
      <w:rPr>
        <w:rFonts w:ascii="Arial" w:hAnsi="Arial" w:cs="Arial"/>
        <w:szCs w:val="24"/>
      </w:rPr>
      <w:t>6</w:t>
    </w:r>
    <w:r w:rsidR="00EA3707" w:rsidRPr="00717BB6">
      <w:rPr>
        <w:rFonts w:ascii="Arial" w:hAnsi="Arial" w:cs="Arial"/>
        <w:szCs w:val="24"/>
      </w:rPr>
      <w:tab/>
    </w:r>
    <w:r w:rsidR="00EA3707" w:rsidRPr="00717BB6">
      <w:rPr>
        <w:rFonts w:ascii="Arial" w:hAnsi="Arial" w:cs="Arial"/>
        <w:szCs w:val="24"/>
      </w:rPr>
      <w:tab/>
      <w:t>###</w:t>
    </w:r>
  </w:p>
  <w:p w14:paraId="353BCCD4" w14:textId="31B610EB" w:rsidR="00263375" w:rsidRPr="00717BB6" w:rsidRDefault="00864E1D" w:rsidP="00717BB6">
    <w:pPr>
      <w:tabs>
        <w:tab w:val="center" w:pos="4680"/>
        <w:tab w:val="right" w:pos="9360"/>
      </w:tabs>
      <w:jc w:val="right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Board of Trustees</w:t>
    </w:r>
  </w:p>
  <w:p w14:paraId="522DBE27" w14:textId="3DF36F34" w:rsidR="00263375" w:rsidRPr="00717BB6" w:rsidRDefault="004A4BB3" w:rsidP="00717BB6">
    <w:pPr>
      <w:tabs>
        <w:tab w:val="center" w:pos="4680"/>
        <w:tab w:val="right" w:pos="9360"/>
      </w:tabs>
      <w:jc w:val="right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REFERENCE COMMITTEE</w:t>
    </w:r>
  </w:p>
  <w:p w14:paraId="3FE4AF8A" w14:textId="77777777" w:rsidR="00263375" w:rsidRPr="00717BB6" w:rsidRDefault="00263375" w:rsidP="00717B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1B08"/>
    <w:multiLevelType w:val="hybridMultilevel"/>
    <w:tmpl w:val="7DEA0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773B0"/>
    <w:multiLevelType w:val="hybridMultilevel"/>
    <w:tmpl w:val="E18EC632"/>
    <w:lvl w:ilvl="0" w:tplc="9FB0AB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684EB78">
      <w:start w:val="1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F6D692A"/>
    <w:multiLevelType w:val="hybridMultilevel"/>
    <w:tmpl w:val="B442CA2E"/>
    <w:lvl w:ilvl="0" w:tplc="3EFEFC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B005715"/>
    <w:multiLevelType w:val="hybridMultilevel"/>
    <w:tmpl w:val="642E9EF4"/>
    <w:lvl w:ilvl="0" w:tplc="F864C7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70A948">
      <w:start w:val="1"/>
      <w:numFmt w:val="lowerLetter"/>
      <w:lvlText w:val="(%2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B2A23F9"/>
    <w:multiLevelType w:val="hybridMultilevel"/>
    <w:tmpl w:val="9498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1280F"/>
    <w:multiLevelType w:val="hybridMultilevel"/>
    <w:tmpl w:val="54FA65B6"/>
    <w:lvl w:ilvl="0" w:tplc="874E52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1A769D8"/>
    <w:multiLevelType w:val="hybridMultilevel"/>
    <w:tmpl w:val="656E9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1C09"/>
    <w:multiLevelType w:val="hybridMultilevel"/>
    <w:tmpl w:val="447A5D52"/>
    <w:lvl w:ilvl="0" w:tplc="CDA032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4D15236"/>
    <w:multiLevelType w:val="hybridMultilevel"/>
    <w:tmpl w:val="E7AE9B46"/>
    <w:lvl w:ilvl="0" w:tplc="3AAADB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969012D"/>
    <w:multiLevelType w:val="hybridMultilevel"/>
    <w:tmpl w:val="2954C11A"/>
    <w:lvl w:ilvl="0" w:tplc="BB183A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C505AC1"/>
    <w:multiLevelType w:val="hybridMultilevel"/>
    <w:tmpl w:val="A552D14E"/>
    <w:lvl w:ilvl="0" w:tplc="0B4E1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71182F"/>
    <w:multiLevelType w:val="hybridMultilevel"/>
    <w:tmpl w:val="B8E81C0C"/>
    <w:lvl w:ilvl="0" w:tplc="42D2C0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E874418"/>
    <w:multiLevelType w:val="hybridMultilevel"/>
    <w:tmpl w:val="BCD6DDE6"/>
    <w:lvl w:ilvl="0" w:tplc="8D522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7237977">
    <w:abstractNumId w:val="4"/>
  </w:num>
  <w:num w:numId="2" w16cid:durableId="1078862321">
    <w:abstractNumId w:val="9"/>
  </w:num>
  <w:num w:numId="3" w16cid:durableId="1385518941">
    <w:abstractNumId w:val="11"/>
  </w:num>
  <w:num w:numId="4" w16cid:durableId="160119937">
    <w:abstractNumId w:val="3"/>
  </w:num>
  <w:num w:numId="5" w16cid:durableId="2007855843">
    <w:abstractNumId w:val="1"/>
  </w:num>
  <w:num w:numId="6" w16cid:durableId="783965977">
    <w:abstractNumId w:val="7"/>
  </w:num>
  <w:num w:numId="7" w16cid:durableId="503083830">
    <w:abstractNumId w:val="12"/>
  </w:num>
  <w:num w:numId="8" w16cid:durableId="692456040">
    <w:abstractNumId w:val="5"/>
  </w:num>
  <w:num w:numId="9" w16cid:durableId="1519270132">
    <w:abstractNumId w:val="2"/>
  </w:num>
  <w:num w:numId="10" w16cid:durableId="905720731">
    <w:abstractNumId w:val="8"/>
  </w:num>
  <w:num w:numId="11" w16cid:durableId="2127380599">
    <w:abstractNumId w:val="10"/>
  </w:num>
  <w:num w:numId="12" w16cid:durableId="1379622543">
    <w:abstractNumId w:val="6"/>
  </w:num>
  <w:num w:numId="13" w16cid:durableId="1024746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707"/>
    <w:rsid w:val="00024380"/>
    <w:rsid w:val="000359D6"/>
    <w:rsid w:val="00047FC0"/>
    <w:rsid w:val="0005768B"/>
    <w:rsid w:val="00075977"/>
    <w:rsid w:val="00086F4C"/>
    <w:rsid w:val="000E01B3"/>
    <w:rsid w:val="000F10DC"/>
    <w:rsid w:val="00132A5D"/>
    <w:rsid w:val="001A3C33"/>
    <w:rsid w:val="001A5695"/>
    <w:rsid w:val="00263375"/>
    <w:rsid w:val="002C2480"/>
    <w:rsid w:val="002C6E53"/>
    <w:rsid w:val="00307270"/>
    <w:rsid w:val="00316F48"/>
    <w:rsid w:val="00335E21"/>
    <w:rsid w:val="00356819"/>
    <w:rsid w:val="0037677B"/>
    <w:rsid w:val="003A57A3"/>
    <w:rsid w:val="003B7175"/>
    <w:rsid w:val="003D77BE"/>
    <w:rsid w:val="00405038"/>
    <w:rsid w:val="00407E10"/>
    <w:rsid w:val="004110C6"/>
    <w:rsid w:val="00432D90"/>
    <w:rsid w:val="004475D9"/>
    <w:rsid w:val="0045327E"/>
    <w:rsid w:val="00470504"/>
    <w:rsid w:val="00477CF8"/>
    <w:rsid w:val="004A4BB3"/>
    <w:rsid w:val="004E2746"/>
    <w:rsid w:val="0050652A"/>
    <w:rsid w:val="005228EE"/>
    <w:rsid w:val="00534904"/>
    <w:rsid w:val="00540947"/>
    <w:rsid w:val="005738B9"/>
    <w:rsid w:val="00583B43"/>
    <w:rsid w:val="00595D10"/>
    <w:rsid w:val="00630543"/>
    <w:rsid w:val="00684DC7"/>
    <w:rsid w:val="006B7A27"/>
    <w:rsid w:val="006F45FF"/>
    <w:rsid w:val="007068D5"/>
    <w:rsid w:val="00707EC1"/>
    <w:rsid w:val="00713C98"/>
    <w:rsid w:val="00724764"/>
    <w:rsid w:val="00734E83"/>
    <w:rsid w:val="0073593E"/>
    <w:rsid w:val="00755F98"/>
    <w:rsid w:val="007B6857"/>
    <w:rsid w:val="007F00BE"/>
    <w:rsid w:val="00823641"/>
    <w:rsid w:val="00841236"/>
    <w:rsid w:val="00864E1D"/>
    <w:rsid w:val="008B2607"/>
    <w:rsid w:val="009045F1"/>
    <w:rsid w:val="009257CD"/>
    <w:rsid w:val="00982EB3"/>
    <w:rsid w:val="009906BA"/>
    <w:rsid w:val="009960B8"/>
    <w:rsid w:val="00A37303"/>
    <w:rsid w:val="00A4140A"/>
    <w:rsid w:val="00A827DA"/>
    <w:rsid w:val="00A82C19"/>
    <w:rsid w:val="00A85ECD"/>
    <w:rsid w:val="00A92876"/>
    <w:rsid w:val="00A97FF5"/>
    <w:rsid w:val="00B03DF2"/>
    <w:rsid w:val="00B87BF1"/>
    <w:rsid w:val="00BB17AB"/>
    <w:rsid w:val="00C17385"/>
    <w:rsid w:val="00C520A3"/>
    <w:rsid w:val="00C70F3F"/>
    <w:rsid w:val="00C912FF"/>
    <w:rsid w:val="00CA2899"/>
    <w:rsid w:val="00CC7458"/>
    <w:rsid w:val="00CC78AC"/>
    <w:rsid w:val="00D647DF"/>
    <w:rsid w:val="00D953A6"/>
    <w:rsid w:val="00DA465B"/>
    <w:rsid w:val="00DC3BC5"/>
    <w:rsid w:val="00DC5959"/>
    <w:rsid w:val="00DD4894"/>
    <w:rsid w:val="00E03F42"/>
    <w:rsid w:val="00E464F8"/>
    <w:rsid w:val="00E60BC0"/>
    <w:rsid w:val="00E773D6"/>
    <w:rsid w:val="00E92FC0"/>
    <w:rsid w:val="00EA3707"/>
    <w:rsid w:val="00FD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845A4"/>
  <w15:docId w15:val="{1B404443-2F4B-478C-AB4F-93ADC5DE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37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707"/>
  </w:style>
  <w:style w:type="character" w:styleId="LineNumber">
    <w:name w:val="line number"/>
    <w:basedOn w:val="DefaultParagraphFont"/>
    <w:uiPriority w:val="99"/>
    <w:semiHidden/>
    <w:unhideWhenUsed/>
    <w:rsid w:val="00EA3707"/>
  </w:style>
  <w:style w:type="paragraph" w:styleId="Footer">
    <w:name w:val="footer"/>
    <w:basedOn w:val="Normal"/>
    <w:link w:val="FooterChar"/>
    <w:unhideWhenUsed/>
    <w:rsid w:val="004A4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A4BB3"/>
  </w:style>
  <w:style w:type="paragraph" w:styleId="ListParagraph">
    <w:name w:val="List Paragraph"/>
    <w:basedOn w:val="Normal"/>
    <w:uiPriority w:val="34"/>
    <w:qFormat/>
    <w:rsid w:val="00583B43"/>
    <w:pPr>
      <w:ind w:left="720"/>
      <w:contextualSpacing/>
    </w:pPr>
  </w:style>
  <w:style w:type="paragraph" w:styleId="NoSpacing">
    <w:name w:val="No Spacing"/>
    <w:uiPriority w:val="1"/>
    <w:qFormat/>
    <w:rsid w:val="00DC3BC5"/>
    <w:rPr>
      <w:rFonts w:asciiTheme="minorHAnsi" w:hAnsiTheme="minorHAnsi"/>
      <w:sz w:val="22"/>
    </w:rPr>
  </w:style>
  <w:style w:type="character" w:styleId="Emphasis">
    <w:name w:val="Emphasis"/>
    <w:basedOn w:val="DefaultParagraphFont"/>
    <w:uiPriority w:val="20"/>
    <w:qFormat/>
    <w:rsid w:val="004E274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7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7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13C98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Cs w:val="24"/>
    </w:rPr>
  </w:style>
  <w:style w:type="character" w:styleId="PageNumber">
    <w:name w:val="page number"/>
    <w:basedOn w:val="DefaultParagraphFont"/>
    <w:rsid w:val="00057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Patty Marcucia</dc:creator>
  <cp:lastModifiedBy>Jenna Bell</cp:lastModifiedBy>
  <cp:revision>3</cp:revision>
  <cp:lastPrinted>2026-04-08T16:21:00Z</cp:lastPrinted>
  <dcterms:created xsi:type="dcterms:W3CDTF">2026-04-27T17:39:00Z</dcterms:created>
  <dcterms:modified xsi:type="dcterms:W3CDTF">2026-04-27T17:44:00Z</dcterms:modified>
</cp:coreProperties>
</file>