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68" w:type="dxa"/>
        <w:tblBorders>
          <w:top w:val="single" w:sz="4" w:space="0" w:color="auto"/>
          <w:left w:val="single" w:sz="4" w:space="0" w:color="auto"/>
          <w:bottom w:val="single" w:sz="4" w:space="0" w:color="auto"/>
          <w:right w:val="single" w:sz="4" w:space="0" w:color="auto"/>
        </w:tblBorders>
        <w:shd w:val="pct12" w:color="auto" w:fill="auto"/>
        <w:tblLayout w:type="fixed"/>
        <w:tblLook w:val="0000" w:firstRow="0" w:lastRow="0" w:firstColumn="0" w:lastColumn="0" w:noHBand="0" w:noVBand="0"/>
      </w:tblPr>
      <w:tblGrid>
        <w:gridCol w:w="1908"/>
        <w:gridCol w:w="189"/>
        <w:gridCol w:w="873"/>
        <w:gridCol w:w="1278"/>
        <w:gridCol w:w="90"/>
        <w:gridCol w:w="540"/>
        <w:gridCol w:w="810"/>
        <w:gridCol w:w="1350"/>
        <w:gridCol w:w="360"/>
        <w:gridCol w:w="2070"/>
      </w:tblGrid>
      <w:tr w:rsidR="00D52681" w:rsidRPr="00D52681" w14:paraId="4CED8942" w14:textId="77777777" w:rsidTr="009523C1">
        <w:tc>
          <w:tcPr>
            <w:tcW w:w="1908" w:type="dxa"/>
            <w:shd w:val="pct12" w:color="auto" w:fill="auto"/>
          </w:tcPr>
          <w:p w14:paraId="00C748A7" w14:textId="77777777" w:rsidR="00D52681" w:rsidRPr="00D52681" w:rsidRDefault="00D52681" w:rsidP="00D52681">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spacing w:before="200" w:after="0" w:line="240" w:lineRule="auto"/>
              <w:rPr>
                <w:rFonts w:ascii="Arial" w:hAnsi="Arial" w:cs="Arial"/>
                <w:color w:val="000000"/>
                <w:szCs w:val="20"/>
              </w:rPr>
            </w:pPr>
            <w:r w:rsidRPr="00D52681">
              <w:rPr>
                <w:rFonts w:ascii="Arial" w:hAnsi="Arial" w:cs="Arial"/>
                <w:szCs w:val="20"/>
              </w:rPr>
              <w:t xml:space="preserve">Resolution </w:t>
            </w:r>
            <w:r w:rsidRPr="00D52681">
              <w:rPr>
                <w:rFonts w:ascii="Arial" w:hAnsi="Arial" w:cs="Arial"/>
                <w:color w:val="000000"/>
                <w:szCs w:val="20"/>
              </w:rPr>
              <w:t>No.</w:t>
            </w:r>
          </w:p>
        </w:tc>
        <w:tc>
          <w:tcPr>
            <w:tcW w:w="2430" w:type="dxa"/>
            <w:gridSpan w:val="4"/>
            <w:shd w:val="pct12" w:color="auto" w:fill="auto"/>
          </w:tcPr>
          <w:p w14:paraId="783ADFF8" w14:textId="30B732F3" w:rsidR="00D52681" w:rsidRPr="00D52681" w:rsidRDefault="00A8265A" w:rsidP="00D52681">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spacing w:before="200" w:after="0" w:line="240" w:lineRule="auto"/>
              <w:rPr>
                <w:rFonts w:ascii="Arial" w:hAnsi="Arial" w:cs="Arial"/>
                <w:color w:val="000000"/>
                <w:szCs w:val="20"/>
              </w:rPr>
            </w:pPr>
            <w:r>
              <w:rPr>
                <w:rFonts w:ascii="Arial" w:hAnsi="Arial" w:cs="Arial"/>
                <w:color w:val="000000"/>
                <w:szCs w:val="20"/>
              </w:rPr>
              <w:t>5</w:t>
            </w:r>
          </w:p>
        </w:tc>
        <w:tc>
          <w:tcPr>
            <w:tcW w:w="1350" w:type="dxa"/>
            <w:gridSpan w:val="2"/>
            <w:shd w:val="pct12" w:color="auto" w:fill="auto"/>
          </w:tcPr>
          <w:p w14:paraId="05AF1ADE" w14:textId="77777777" w:rsidR="00D52681" w:rsidRPr="00D52681" w:rsidRDefault="00D52681" w:rsidP="00D52681">
            <w:pPr>
              <w:widowControl/>
              <w:tabs>
                <w:tab w:val="left" w:pos="687"/>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spacing w:before="200" w:after="0" w:line="240" w:lineRule="auto"/>
              <w:ind w:left="72" w:hanging="7"/>
              <w:rPr>
                <w:rFonts w:ascii="Arial" w:hAnsi="Arial" w:cs="Arial"/>
                <w:color w:val="000000"/>
                <w:szCs w:val="20"/>
              </w:rPr>
            </w:pPr>
            <w:r w:rsidRPr="00D52681">
              <w:rPr>
                <w:rFonts w:ascii="Arial" w:hAnsi="Arial" w:cs="Arial"/>
                <w:color w:val="000000"/>
                <w:szCs w:val="20"/>
              </w:rPr>
              <w:t xml:space="preserve">New </w:t>
            </w:r>
            <w:r>
              <w:rPr>
                <w:rFonts w:ascii="Arial" w:hAnsi="Arial" w:cs="Arial"/>
                <w:color w:val="000000"/>
                <w:szCs w:val="20"/>
              </w:rPr>
              <w:sym w:font="Wingdings" w:char="F06E"/>
            </w:r>
          </w:p>
        </w:tc>
        <w:tc>
          <w:tcPr>
            <w:tcW w:w="1710" w:type="dxa"/>
            <w:gridSpan w:val="2"/>
            <w:shd w:val="pct12" w:color="auto" w:fill="auto"/>
          </w:tcPr>
          <w:p w14:paraId="29A679B6" w14:textId="77777777" w:rsidR="00D52681" w:rsidRPr="00D52681" w:rsidRDefault="00D52681" w:rsidP="00D52681">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spacing w:before="200" w:after="0" w:line="240" w:lineRule="auto"/>
              <w:rPr>
                <w:rFonts w:ascii="Arial" w:hAnsi="Arial" w:cs="Arial"/>
                <w:color w:val="000000"/>
                <w:szCs w:val="20"/>
              </w:rPr>
            </w:pPr>
            <w:r w:rsidRPr="00D52681">
              <w:rPr>
                <w:rFonts w:ascii="Arial" w:hAnsi="Arial" w:cs="Arial"/>
                <w:color w:val="000000"/>
                <w:szCs w:val="20"/>
              </w:rPr>
              <w:t xml:space="preserve">Substitute </w:t>
            </w:r>
            <w:r w:rsidRPr="00D52681">
              <w:rPr>
                <w:rFonts w:ascii="Arial" w:hAnsi="Arial" w:cs="Arial"/>
                <w:color w:val="000000"/>
                <w:szCs w:val="20"/>
              </w:rPr>
              <w:sym w:font="Wingdings" w:char="F06F"/>
            </w:r>
          </w:p>
        </w:tc>
        <w:tc>
          <w:tcPr>
            <w:tcW w:w="2070" w:type="dxa"/>
            <w:shd w:val="pct12" w:color="auto" w:fill="auto"/>
          </w:tcPr>
          <w:p w14:paraId="72980465" w14:textId="77777777" w:rsidR="00D52681" w:rsidRPr="00D52681" w:rsidRDefault="00D52681" w:rsidP="00D52681">
            <w:pPr>
              <w:widowControl/>
              <w:tabs>
                <w:tab w:val="left" w:pos="360"/>
                <w:tab w:val="left" w:pos="72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spacing w:before="200" w:after="0" w:line="240" w:lineRule="auto"/>
              <w:ind w:right="-105"/>
              <w:rPr>
                <w:rFonts w:ascii="Arial" w:hAnsi="Arial" w:cs="Arial"/>
                <w:color w:val="000000"/>
                <w:szCs w:val="20"/>
              </w:rPr>
            </w:pPr>
            <w:r w:rsidRPr="00D52681">
              <w:rPr>
                <w:rFonts w:ascii="Arial" w:hAnsi="Arial" w:cs="Arial"/>
                <w:color w:val="000000"/>
                <w:szCs w:val="20"/>
              </w:rPr>
              <w:t xml:space="preserve">Amendment </w:t>
            </w:r>
            <w:r w:rsidRPr="00D52681">
              <w:rPr>
                <w:rFonts w:ascii="Arial" w:hAnsi="Arial" w:cs="Arial"/>
                <w:color w:val="000000"/>
                <w:szCs w:val="20"/>
              </w:rPr>
              <w:sym w:font="Wingdings" w:char="F06F"/>
            </w:r>
          </w:p>
        </w:tc>
      </w:tr>
      <w:tr w:rsidR="00D52681" w:rsidRPr="00D52681" w14:paraId="25787B10" w14:textId="77777777" w:rsidTr="009523C1">
        <w:tc>
          <w:tcPr>
            <w:tcW w:w="1908" w:type="dxa"/>
            <w:shd w:val="pct12" w:color="auto" w:fill="auto"/>
          </w:tcPr>
          <w:p w14:paraId="4FB7787A" w14:textId="77777777" w:rsidR="00D52681" w:rsidRPr="00D52681" w:rsidRDefault="00D52681" w:rsidP="00D52681">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spacing w:before="200" w:after="0" w:line="240" w:lineRule="auto"/>
              <w:rPr>
                <w:rFonts w:ascii="Arial" w:hAnsi="Arial" w:cs="Arial"/>
                <w:color w:val="000000"/>
                <w:szCs w:val="20"/>
              </w:rPr>
            </w:pPr>
            <w:r w:rsidRPr="00D52681">
              <w:rPr>
                <w:rFonts w:ascii="Arial" w:hAnsi="Arial" w:cs="Arial"/>
                <w:color w:val="000000"/>
                <w:szCs w:val="20"/>
              </w:rPr>
              <w:t>Submitted By:</w:t>
            </w:r>
          </w:p>
        </w:tc>
        <w:tc>
          <w:tcPr>
            <w:tcW w:w="7560" w:type="dxa"/>
            <w:gridSpan w:val="9"/>
            <w:shd w:val="pct12" w:color="auto" w:fill="auto"/>
          </w:tcPr>
          <w:p w14:paraId="4C95AF72" w14:textId="12C0DBFC" w:rsidR="00D52681" w:rsidRPr="00D52681" w:rsidRDefault="00A8265A" w:rsidP="00D52681">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spacing w:before="200" w:after="0" w:line="240" w:lineRule="auto"/>
              <w:rPr>
                <w:rFonts w:ascii="Arial" w:hAnsi="Arial" w:cs="Arial"/>
                <w:color w:val="000000"/>
                <w:szCs w:val="20"/>
              </w:rPr>
            </w:pPr>
            <w:r>
              <w:rPr>
                <w:rFonts w:ascii="Arial" w:hAnsi="Arial" w:cs="Arial"/>
                <w:szCs w:val="20"/>
              </w:rPr>
              <w:t xml:space="preserve">Council on Dental </w:t>
            </w:r>
            <w:r w:rsidR="00584273">
              <w:rPr>
                <w:rFonts w:ascii="Arial" w:hAnsi="Arial" w:cs="Arial"/>
                <w:szCs w:val="20"/>
              </w:rPr>
              <w:t>Health Planning and Hospital Dentistry</w:t>
            </w:r>
          </w:p>
        </w:tc>
      </w:tr>
      <w:tr w:rsidR="00D52681" w:rsidRPr="00D52681" w14:paraId="70693029" w14:textId="77777777" w:rsidTr="009523C1">
        <w:tc>
          <w:tcPr>
            <w:tcW w:w="1908" w:type="dxa"/>
            <w:shd w:val="pct12" w:color="auto" w:fill="auto"/>
          </w:tcPr>
          <w:p w14:paraId="1A15D5B4" w14:textId="77777777" w:rsidR="00D52681" w:rsidRPr="00D52681" w:rsidRDefault="00D52681" w:rsidP="00D52681">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spacing w:before="200" w:after="0" w:line="240" w:lineRule="auto"/>
              <w:rPr>
                <w:rFonts w:ascii="Arial" w:hAnsi="Arial" w:cs="Arial"/>
                <w:color w:val="000000"/>
                <w:szCs w:val="20"/>
              </w:rPr>
            </w:pPr>
            <w:r w:rsidRPr="00D52681">
              <w:rPr>
                <w:rFonts w:ascii="Arial" w:hAnsi="Arial" w:cs="Arial"/>
                <w:color w:val="000000"/>
                <w:szCs w:val="20"/>
              </w:rPr>
              <w:t>Date Submitted:</w:t>
            </w:r>
          </w:p>
        </w:tc>
        <w:tc>
          <w:tcPr>
            <w:tcW w:w="2340" w:type="dxa"/>
            <w:gridSpan w:val="3"/>
            <w:shd w:val="pct12" w:color="auto" w:fill="auto"/>
          </w:tcPr>
          <w:p w14:paraId="52B41968" w14:textId="5E9F0ACD" w:rsidR="00D52681" w:rsidRPr="00D52681" w:rsidRDefault="00A8265A" w:rsidP="00023C62">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spacing w:before="200" w:after="0" w:line="240" w:lineRule="auto"/>
              <w:rPr>
                <w:rFonts w:ascii="Arial" w:hAnsi="Arial" w:cs="Arial"/>
                <w:color w:val="000000"/>
                <w:szCs w:val="20"/>
              </w:rPr>
            </w:pPr>
            <w:r>
              <w:rPr>
                <w:rFonts w:ascii="Arial" w:hAnsi="Arial" w:cs="Arial"/>
                <w:color w:val="000000"/>
                <w:szCs w:val="20"/>
              </w:rPr>
              <w:t>April 11</w:t>
            </w:r>
            <w:r w:rsidR="00032EB8">
              <w:rPr>
                <w:rFonts w:ascii="Arial" w:hAnsi="Arial" w:cs="Arial"/>
                <w:color w:val="000000"/>
                <w:szCs w:val="20"/>
              </w:rPr>
              <w:t>, 202</w:t>
            </w:r>
            <w:r w:rsidR="00267DE4">
              <w:rPr>
                <w:rFonts w:ascii="Arial" w:hAnsi="Arial" w:cs="Arial"/>
                <w:color w:val="000000"/>
                <w:szCs w:val="20"/>
              </w:rPr>
              <w:t>5</w:t>
            </w:r>
          </w:p>
        </w:tc>
        <w:tc>
          <w:tcPr>
            <w:tcW w:w="3150" w:type="dxa"/>
            <w:gridSpan w:val="5"/>
            <w:shd w:val="pct12" w:color="auto" w:fill="auto"/>
          </w:tcPr>
          <w:p w14:paraId="623F7B67" w14:textId="246FD3E3" w:rsidR="00D52681" w:rsidRPr="00D52681" w:rsidRDefault="00D52681" w:rsidP="00D52681">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spacing w:before="200" w:after="0" w:line="240" w:lineRule="auto"/>
              <w:rPr>
                <w:rFonts w:ascii="Arial" w:hAnsi="Arial" w:cs="Arial"/>
                <w:color w:val="000000"/>
                <w:szCs w:val="20"/>
              </w:rPr>
            </w:pPr>
            <w:r w:rsidRPr="00D52681">
              <w:rPr>
                <w:rFonts w:ascii="Arial" w:hAnsi="Arial" w:cs="Arial"/>
                <w:color w:val="000000"/>
                <w:szCs w:val="20"/>
              </w:rPr>
              <w:t xml:space="preserve">Reference Committee  </w:t>
            </w:r>
            <w:r w:rsidR="000E7F72">
              <w:rPr>
                <w:rFonts w:ascii="Arial" w:hAnsi="Arial" w:cs="Arial"/>
                <w:color w:val="000000"/>
                <w:szCs w:val="20"/>
              </w:rPr>
              <w:sym w:font="Wingdings" w:char="F06E"/>
            </w:r>
          </w:p>
        </w:tc>
        <w:tc>
          <w:tcPr>
            <w:tcW w:w="2070" w:type="dxa"/>
            <w:shd w:val="pct12" w:color="auto" w:fill="auto"/>
          </w:tcPr>
          <w:p w14:paraId="386E0957" w14:textId="06004606" w:rsidR="00D52681" w:rsidRPr="00D52681" w:rsidRDefault="00D52681" w:rsidP="00D52681">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spacing w:before="200" w:after="0" w:line="240" w:lineRule="auto"/>
              <w:rPr>
                <w:rFonts w:ascii="Arial" w:hAnsi="Arial" w:cs="Arial"/>
                <w:color w:val="000000"/>
                <w:szCs w:val="20"/>
              </w:rPr>
            </w:pPr>
            <w:r w:rsidRPr="00D52681">
              <w:rPr>
                <w:rFonts w:ascii="Arial" w:hAnsi="Arial" w:cs="Arial"/>
                <w:color w:val="000000"/>
                <w:szCs w:val="20"/>
              </w:rPr>
              <w:t xml:space="preserve">Direct to House </w:t>
            </w:r>
            <w:r w:rsidR="000E7F72">
              <w:rPr>
                <w:rFonts w:ascii="Arial" w:hAnsi="Arial" w:cs="Arial"/>
                <w:color w:val="000000"/>
                <w:szCs w:val="20"/>
              </w:rPr>
              <w:sym w:font="Wingdings" w:char="F06F"/>
            </w:r>
          </w:p>
        </w:tc>
      </w:tr>
      <w:tr w:rsidR="00D52681" w:rsidRPr="00D52681" w14:paraId="31813A95" w14:textId="77777777" w:rsidTr="009523C1">
        <w:tc>
          <w:tcPr>
            <w:tcW w:w="2970" w:type="dxa"/>
            <w:gridSpan w:val="3"/>
            <w:shd w:val="pct12" w:color="auto" w:fill="auto"/>
          </w:tcPr>
          <w:p w14:paraId="0E6981C5" w14:textId="77777777" w:rsidR="00D52681" w:rsidRPr="00D52681" w:rsidRDefault="00D52681" w:rsidP="00D52681">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spacing w:before="200" w:after="0" w:line="240" w:lineRule="auto"/>
              <w:rPr>
                <w:rFonts w:ascii="Arial" w:hAnsi="Arial" w:cs="Arial"/>
                <w:color w:val="000000"/>
                <w:szCs w:val="20"/>
              </w:rPr>
            </w:pPr>
            <w:r w:rsidRPr="00D52681">
              <w:rPr>
                <w:rFonts w:ascii="Arial" w:hAnsi="Arial" w:cs="Arial"/>
                <w:color w:val="000000"/>
                <w:szCs w:val="20"/>
              </w:rPr>
              <w:t>Total Financial Implication:</w:t>
            </w:r>
          </w:p>
        </w:tc>
        <w:tc>
          <w:tcPr>
            <w:tcW w:w="6498" w:type="dxa"/>
            <w:gridSpan w:val="7"/>
            <w:shd w:val="pct12" w:color="auto" w:fill="auto"/>
          </w:tcPr>
          <w:p w14:paraId="00A41333" w14:textId="77777777" w:rsidR="00D52681" w:rsidRPr="00D52681" w:rsidRDefault="00D52681" w:rsidP="00D52681">
            <w:pPr>
              <w:widowControl/>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spacing w:before="200" w:after="0" w:line="240" w:lineRule="auto"/>
              <w:rPr>
                <w:rFonts w:ascii="Arial" w:hAnsi="Arial" w:cs="Arial"/>
                <w:color w:val="000000"/>
                <w:szCs w:val="20"/>
              </w:rPr>
            </w:pPr>
            <w:r w:rsidRPr="00D52681">
              <w:rPr>
                <w:rFonts w:ascii="Arial" w:hAnsi="Arial" w:cs="Arial"/>
                <w:color w:val="000000"/>
                <w:szCs w:val="20"/>
              </w:rPr>
              <w:t>$ none</w:t>
            </w:r>
          </w:p>
        </w:tc>
      </w:tr>
      <w:tr w:rsidR="00D52681" w:rsidRPr="00D52681" w14:paraId="03837BB5" w14:textId="77777777" w:rsidTr="009523C1">
        <w:tc>
          <w:tcPr>
            <w:tcW w:w="2097" w:type="dxa"/>
            <w:gridSpan w:val="2"/>
            <w:shd w:val="pct12" w:color="auto" w:fill="auto"/>
          </w:tcPr>
          <w:p w14:paraId="45B142AB" w14:textId="77777777" w:rsidR="00D52681" w:rsidRPr="00D52681" w:rsidRDefault="00D52681" w:rsidP="00D52681">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spacing w:before="200" w:after="0" w:line="240" w:lineRule="auto"/>
              <w:rPr>
                <w:rFonts w:ascii="Arial" w:hAnsi="Arial" w:cs="Arial"/>
                <w:color w:val="000000"/>
                <w:szCs w:val="20"/>
              </w:rPr>
            </w:pPr>
            <w:r w:rsidRPr="00D52681">
              <w:rPr>
                <w:rFonts w:ascii="Arial" w:hAnsi="Arial" w:cs="Arial"/>
                <w:color w:val="000000"/>
                <w:szCs w:val="20"/>
              </w:rPr>
              <w:t xml:space="preserve">Amount One-time </w:t>
            </w:r>
          </w:p>
        </w:tc>
        <w:tc>
          <w:tcPr>
            <w:tcW w:w="2781" w:type="dxa"/>
            <w:gridSpan w:val="4"/>
            <w:shd w:val="pct12" w:color="auto" w:fill="auto"/>
          </w:tcPr>
          <w:p w14:paraId="3C57659D" w14:textId="77777777" w:rsidR="00D52681" w:rsidRPr="00D52681" w:rsidRDefault="00D52681" w:rsidP="00D52681">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spacing w:before="200" w:after="0" w:line="240" w:lineRule="auto"/>
              <w:rPr>
                <w:rFonts w:ascii="Arial" w:hAnsi="Arial" w:cs="Arial"/>
                <w:color w:val="000000"/>
                <w:szCs w:val="20"/>
              </w:rPr>
            </w:pPr>
            <w:r w:rsidRPr="00D52681">
              <w:rPr>
                <w:rFonts w:ascii="Arial" w:hAnsi="Arial" w:cs="Arial"/>
                <w:color w:val="000000"/>
                <w:szCs w:val="20"/>
              </w:rPr>
              <w:t>$ none</w:t>
            </w:r>
          </w:p>
        </w:tc>
        <w:tc>
          <w:tcPr>
            <w:tcW w:w="2160" w:type="dxa"/>
            <w:gridSpan w:val="2"/>
            <w:shd w:val="pct12" w:color="auto" w:fill="auto"/>
          </w:tcPr>
          <w:p w14:paraId="7FE1FEC4" w14:textId="77777777" w:rsidR="00D52681" w:rsidRPr="00D52681" w:rsidRDefault="00D52681" w:rsidP="00D52681">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spacing w:before="200" w:after="0" w:line="240" w:lineRule="auto"/>
              <w:rPr>
                <w:rFonts w:ascii="Arial" w:hAnsi="Arial" w:cs="Arial"/>
                <w:color w:val="000000"/>
                <w:szCs w:val="20"/>
              </w:rPr>
            </w:pPr>
            <w:r w:rsidRPr="00D52681">
              <w:rPr>
                <w:rFonts w:ascii="Arial" w:hAnsi="Arial" w:cs="Arial"/>
                <w:color w:val="000000"/>
                <w:szCs w:val="20"/>
              </w:rPr>
              <w:t xml:space="preserve">Amount On-going </w:t>
            </w:r>
          </w:p>
        </w:tc>
        <w:tc>
          <w:tcPr>
            <w:tcW w:w="2430" w:type="dxa"/>
            <w:gridSpan w:val="2"/>
            <w:shd w:val="pct12" w:color="auto" w:fill="auto"/>
          </w:tcPr>
          <w:p w14:paraId="1BF79107" w14:textId="77777777" w:rsidR="00D52681" w:rsidRPr="00D52681" w:rsidRDefault="00D52681" w:rsidP="00D52681">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spacing w:before="200" w:after="0" w:line="240" w:lineRule="auto"/>
              <w:rPr>
                <w:rFonts w:ascii="Arial" w:hAnsi="Arial" w:cs="Arial"/>
                <w:color w:val="000000"/>
                <w:szCs w:val="20"/>
              </w:rPr>
            </w:pPr>
            <w:r w:rsidRPr="00D52681">
              <w:rPr>
                <w:rFonts w:ascii="Arial" w:hAnsi="Arial" w:cs="Arial"/>
                <w:color w:val="000000"/>
                <w:szCs w:val="20"/>
              </w:rPr>
              <w:t>$ none</w:t>
            </w:r>
          </w:p>
        </w:tc>
      </w:tr>
    </w:tbl>
    <w:p w14:paraId="662D9123" w14:textId="77777777" w:rsidR="00D52681" w:rsidRDefault="00D52681" w:rsidP="001813BC">
      <w:pPr>
        <w:widowControl/>
        <w:suppressLineNumbers/>
        <w:spacing w:after="0" w:line="240" w:lineRule="auto"/>
        <w:rPr>
          <w:rFonts w:ascii="Arial" w:hAnsi="Arial" w:cs="Arial"/>
          <w:b/>
          <w:sz w:val="24"/>
          <w:szCs w:val="24"/>
        </w:rPr>
      </w:pPr>
    </w:p>
    <w:p w14:paraId="3276AC71" w14:textId="1DE6CD70" w:rsidR="00D52681" w:rsidRDefault="00A8265A" w:rsidP="001813BC">
      <w:pPr>
        <w:widowControl/>
        <w:suppressLineNumbers/>
        <w:spacing w:after="0" w:line="240" w:lineRule="auto"/>
        <w:jc w:val="center"/>
        <w:rPr>
          <w:rFonts w:ascii="Arial" w:hAnsi="Arial" w:cs="Arial"/>
          <w:b/>
          <w:sz w:val="24"/>
          <w:szCs w:val="24"/>
        </w:rPr>
      </w:pPr>
      <w:r w:rsidRPr="00A8265A">
        <w:rPr>
          <w:rFonts w:ascii="Arial" w:hAnsi="Arial" w:cs="Arial"/>
          <w:b/>
          <w:sz w:val="24"/>
          <w:szCs w:val="24"/>
        </w:rPr>
        <w:t>Dentist and Dental Hygienist Compact</w:t>
      </w:r>
      <w:r w:rsidR="00A60D87">
        <w:rPr>
          <w:rFonts w:ascii="Arial" w:hAnsi="Arial" w:cs="Arial"/>
          <w:b/>
          <w:sz w:val="24"/>
          <w:szCs w:val="24"/>
        </w:rPr>
        <w:t xml:space="preserve"> </w:t>
      </w:r>
    </w:p>
    <w:p w14:paraId="0DC2371B" w14:textId="77777777" w:rsidR="00DA0EF0" w:rsidRDefault="00DA0EF0" w:rsidP="001813BC">
      <w:pPr>
        <w:widowControl/>
        <w:suppressLineNumbers/>
        <w:spacing w:after="0" w:line="240" w:lineRule="auto"/>
        <w:rPr>
          <w:rFonts w:ascii="Arial" w:hAnsi="Arial" w:cs="Arial"/>
          <w:b/>
          <w:sz w:val="24"/>
          <w:szCs w:val="24"/>
        </w:rPr>
      </w:pPr>
    </w:p>
    <w:p w14:paraId="165952F1" w14:textId="77777777" w:rsidR="00584273" w:rsidRDefault="00A8265A" w:rsidP="00584273">
      <w:pPr>
        <w:pStyle w:val="Default"/>
      </w:pPr>
      <w:r w:rsidRPr="00A8265A">
        <w:rPr>
          <w:b/>
          <w:color w:val="0D0D0D" w:themeColor="text1" w:themeTint="F2"/>
        </w:rPr>
        <w:t xml:space="preserve">Background: </w:t>
      </w:r>
      <w:r w:rsidR="00584273" w:rsidRPr="00863CB5">
        <w:rPr>
          <w:rFonts w:eastAsia="Times New Roman"/>
        </w:rPr>
        <w:t xml:space="preserve">At its 2024 House of Delegates meeting, the NYSDA House adopted Resolution 14H-2024, which asked that the appropriate councils evaluate the Dentist and Dental Hygienist Licensure Compact model. The Board formally </w:t>
      </w:r>
      <w:proofErr w:type="gramStart"/>
      <w:r w:rsidR="00584273" w:rsidRPr="00863CB5">
        <w:rPr>
          <w:rFonts w:eastAsia="Times New Roman"/>
        </w:rPr>
        <w:t>referred</w:t>
      </w:r>
      <w:proofErr w:type="gramEnd"/>
      <w:r w:rsidR="00584273" w:rsidRPr="00863CB5">
        <w:rPr>
          <w:rFonts w:eastAsia="Times New Roman"/>
        </w:rPr>
        <w:t xml:space="preserve"> the resolution to the Council on Dental Practice for recommendations to the 2025 HOD but also asked that the Council on Dental Health Planning and Hospital Dentistry (CDHPHD) consider the matter. </w:t>
      </w:r>
      <w:r w:rsidR="00584273" w:rsidRPr="00863CB5">
        <w:t xml:space="preserve">During </w:t>
      </w:r>
      <w:proofErr w:type="gramStart"/>
      <w:r w:rsidR="00584273" w:rsidRPr="00863CB5">
        <w:t>the 2025</w:t>
      </w:r>
      <w:proofErr w:type="gramEnd"/>
      <w:r w:rsidR="00584273" w:rsidRPr="00863CB5">
        <w:t xml:space="preserve"> House of Delegates the Council on Dental Health Planning and Hospital Dentistry sent forward a resolution in opposition to the Dental Compacts. The NYSDA House subsequently </w:t>
      </w:r>
      <w:proofErr w:type="gramStart"/>
      <w:r w:rsidR="00584273" w:rsidRPr="00863CB5">
        <w:t>referred</w:t>
      </w:r>
      <w:proofErr w:type="gramEnd"/>
      <w:r w:rsidR="00584273" w:rsidRPr="00863CB5">
        <w:t xml:space="preserve"> the resolution back to the appropriate councils, with a request for further recommendations to the 2026 HOD.</w:t>
      </w:r>
    </w:p>
    <w:p w14:paraId="4ABED107" w14:textId="77777777" w:rsidR="00584273" w:rsidRDefault="00584273" w:rsidP="00584273">
      <w:pPr>
        <w:pStyle w:val="Default"/>
      </w:pPr>
    </w:p>
    <w:p w14:paraId="15BAC2EB" w14:textId="77777777" w:rsidR="00584273" w:rsidRDefault="00584273" w:rsidP="00584273">
      <w:pPr>
        <w:pStyle w:val="Default"/>
        <w:rPr>
          <w:rFonts w:eastAsia="Times New Roman"/>
        </w:rPr>
      </w:pPr>
      <w:r w:rsidRPr="00863CB5">
        <w:rPr>
          <w:rFonts w:eastAsia="Times New Roman"/>
        </w:rPr>
        <w:t xml:space="preserve">The Dentist and Dental Hygienist Licensure Compact is a multistate agreement designed to facilitate the mobility of licensed dental professionals, allowing them to practice in any participating state. While </w:t>
      </w:r>
      <w:proofErr w:type="gramStart"/>
      <w:r w:rsidRPr="00863CB5">
        <w:rPr>
          <w:rFonts w:eastAsia="Times New Roman"/>
        </w:rPr>
        <w:t>the Compact</w:t>
      </w:r>
      <w:proofErr w:type="gramEnd"/>
      <w:r w:rsidRPr="00863CB5">
        <w:rPr>
          <w:rFonts w:eastAsia="Times New Roman"/>
        </w:rPr>
        <w:t xml:space="preserve"> offers enhanced professional flexibility, it presents potential risks, particularly </w:t>
      </w:r>
      <w:proofErr w:type="gramStart"/>
      <w:r w:rsidRPr="00863CB5">
        <w:rPr>
          <w:rFonts w:eastAsia="Times New Roman"/>
        </w:rPr>
        <w:t>in light of</w:t>
      </w:r>
      <w:proofErr w:type="gramEnd"/>
      <w:r w:rsidRPr="00863CB5">
        <w:rPr>
          <w:rFonts w:eastAsia="Times New Roman"/>
        </w:rPr>
        <w:t xml:space="preserve"> New York State's ongoing regional workforce shortages.</w:t>
      </w:r>
    </w:p>
    <w:p w14:paraId="4F0CF5AC" w14:textId="77777777" w:rsidR="00584273" w:rsidRDefault="00584273" w:rsidP="00584273">
      <w:pPr>
        <w:pStyle w:val="Default"/>
        <w:rPr>
          <w:rFonts w:eastAsia="Times New Roman"/>
        </w:rPr>
      </w:pPr>
    </w:p>
    <w:p w14:paraId="4C650DEC" w14:textId="77777777" w:rsidR="00584273" w:rsidRDefault="00584273" w:rsidP="00584273">
      <w:pPr>
        <w:pStyle w:val="Default"/>
      </w:pPr>
      <w:r w:rsidRPr="00863CB5">
        <w:t xml:space="preserve">After reviewing the data, it was determined that New York State does not have a shortage of licensed dentists. As of January 1, 2025, there were 18,335 licensed dentists in New York State with a large number concentrated downstate. The challenge facing New York’s dental workforce is not a migration issue, it is a distribution issue among regions in the state. There is no evidence to support the idea that a dental compact would address the uneven distribution of licensed dentists to the unsupported regions in New York State. It is also important to note that compacts work </w:t>
      </w:r>
      <w:r w:rsidRPr="00863CB5">
        <w:rPr>
          <w:i/>
          <w:iCs/>
        </w:rPr>
        <w:t>both ways</w:t>
      </w:r>
      <w:r w:rsidRPr="00863CB5">
        <w:t xml:space="preserve">, allowing migration </w:t>
      </w:r>
      <w:r w:rsidRPr="00863CB5">
        <w:rPr>
          <w:i/>
          <w:iCs/>
        </w:rPr>
        <w:t>into</w:t>
      </w:r>
      <w:r w:rsidRPr="00863CB5">
        <w:t xml:space="preserve"> New York and </w:t>
      </w:r>
      <w:r w:rsidRPr="00863CB5">
        <w:rPr>
          <w:i/>
          <w:iCs/>
        </w:rPr>
        <w:t>out of</w:t>
      </w:r>
      <w:r w:rsidRPr="00863CB5">
        <w:t xml:space="preserve"> New York. In theory, the Compact could further exacerbate the regional shortages of the dental workforce. </w:t>
      </w:r>
    </w:p>
    <w:p w14:paraId="448E156C" w14:textId="77777777" w:rsidR="00584273" w:rsidRDefault="00584273" w:rsidP="00584273">
      <w:pPr>
        <w:pStyle w:val="Default"/>
      </w:pPr>
    </w:p>
    <w:p w14:paraId="291A48A7" w14:textId="77777777" w:rsidR="00584273" w:rsidRDefault="00584273" w:rsidP="00584273">
      <w:pPr>
        <w:pStyle w:val="Default"/>
        <w:rPr>
          <w:rFonts w:eastAsia="Times New Roman"/>
        </w:rPr>
      </w:pPr>
      <w:r>
        <w:t>N</w:t>
      </w:r>
      <w:r w:rsidRPr="00863CB5">
        <w:rPr>
          <w:rFonts w:eastAsia="Times New Roman"/>
        </w:rPr>
        <w:t xml:space="preserve">ew York is likely to experience an influx of out-of-state practitioners </w:t>
      </w:r>
      <w:proofErr w:type="gramStart"/>
      <w:r w:rsidRPr="00863CB5">
        <w:rPr>
          <w:rFonts w:eastAsia="Times New Roman"/>
        </w:rPr>
        <w:t>as a result of</w:t>
      </w:r>
      <w:proofErr w:type="gramEnd"/>
      <w:r w:rsidRPr="00863CB5">
        <w:rPr>
          <w:rFonts w:eastAsia="Times New Roman"/>
        </w:rPr>
        <w:t xml:space="preserve"> the Compact, which could exacerbate competition for positions without effectively addressing the critical need for providers in rural and underserved areas. This could divert attention from targeted solutions for these areas, where the shortages are most severe.</w:t>
      </w:r>
    </w:p>
    <w:p w14:paraId="116BDD00" w14:textId="77777777" w:rsidR="00584273" w:rsidRDefault="00584273" w:rsidP="00584273">
      <w:pPr>
        <w:pStyle w:val="Default"/>
        <w:rPr>
          <w:rFonts w:eastAsia="Times New Roman"/>
        </w:rPr>
      </w:pPr>
    </w:p>
    <w:p w14:paraId="3BA78ABC" w14:textId="77777777" w:rsidR="00584273" w:rsidRDefault="00584273" w:rsidP="00584273">
      <w:pPr>
        <w:pStyle w:val="Default"/>
        <w:rPr>
          <w:rFonts w:eastAsia="Times New Roman"/>
        </w:rPr>
      </w:pPr>
      <w:r>
        <w:rPr>
          <w:rFonts w:eastAsia="Times New Roman"/>
        </w:rPr>
        <w:t>A</w:t>
      </w:r>
      <w:r w:rsidRPr="00863CB5">
        <w:rPr>
          <w:rFonts w:eastAsia="Times New Roman"/>
        </w:rPr>
        <w:t xml:space="preserve">dditionally, joining the Compact may necessitate substantial modifications to New York's licensing infrastructure, imposing significant costs on the state. These funds </w:t>
      </w:r>
      <w:r w:rsidRPr="00863CB5">
        <w:rPr>
          <w:rFonts w:eastAsia="Times New Roman"/>
        </w:rPr>
        <w:lastRenderedPageBreak/>
        <w:t>could be better utilized to support vital public health initiatives, such as increasing access to dental care, funding student loan forgiveness programs, and incentivizing dental professionals to practice in underserved communities.</w:t>
      </w:r>
      <w:r>
        <w:rPr>
          <w:rFonts w:eastAsia="Times New Roman"/>
        </w:rPr>
        <w:t xml:space="preserve"> </w:t>
      </w:r>
    </w:p>
    <w:p w14:paraId="02369042" w14:textId="77777777" w:rsidR="00584273" w:rsidRDefault="00584273" w:rsidP="00584273">
      <w:pPr>
        <w:pStyle w:val="Default"/>
        <w:rPr>
          <w:rFonts w:eastAsia="Times New Roman"/>
        </w:rPr>
      </w:pPr>
    </w:p>
    <w:p w14:paraId="7B6CC802" w14:textId="77777777" w:rsidR="00584273" w:rsidRDefault="00584273" w:rsidP="00584273">
      <w:pPr>
        <w:pStyle w:val="Default"/>
        <w:rPr>
          <w:rFonts w:eastAsia="Times New Roman"/>
        </w:rPr>
      </w:pPr>
      <w:r w:rsidRPr="00863CB5">
        <w:rPr>
          <w:rFonts w:eastAsia="Times New Roman"/>
        </w:rPr>
        <w:t>Given these considerations, the CDHPHD strongly recommends that NYSDA delay any decision to join the Compact and closely monitor its development and impact in other states before committing to New York's participation.</w:t>
      </w:r>
    </w:p>
    <w:p w14:paraId="3B315B08" w14:textId="77777777" w:rsidR="00584273" w:rsidRDefault="00584273" w:rsidP="00584273">
      <w:pPr>
        <w:pStyle w:val="Default"/>
        <w:rPr>
          <w:rFonts w:eastAsia="Times New Roman"/>
        </w:rPr>
      </w:pPr>
    </w:p>
    <w:p w14:paraId="56A3AFCD" w14:textId="77777777" w:rsidR="00584273" w:rsidRDefault="00584273" w:rsidP="00584273">
      <w:pPr>
        <w:pStyle w:val="Default"/>
        <w:rPr>
          <w:rFonts w:eastAsia="Times New Roman"/>
        </w:rPr>
      </w:pPr>
      <w:r w:rsidRPr="00863CB5">
        <w:rPr>
          <w:rFonts w:eastAsia="Times New Roman"/>
        </w:rPr>
        <w:t>Accordingly, the following resolution is being submitted for consideration</w:t>
      </w:r>
    </w:p>
    <w:p w14:paraId="0D8425A2" w14:textId="77777777" w:rsidR="00584273" w:rsidRDefault="00584273" w:rsidP="00584273">
      <w:pPr>
        <w:pStyle w:val="Default"/>
        <w:rPr>
          <w:rFonts w:eastAsia="Times New Roman"/>
        </w:rPr>
      </w:pPr>
    </w:p>
    <w:p w14:paraId="35995569" w14:textId="27D72152" w:rsidR="00584273" w:rsidRPr="00863CB5" w:rsidRDefault="00584273" w:rsidP="00584273">
      <w:pPr>
        <w:pStyle w:val="Default"/>
        <w:ind w:left="720"/>
      </w:pPr>
      <w:r>
        <w:rPr>
          <w:b/>
          <w:bCs/>
        </w:rPr>
        <w:t>5</w:t>
      </w:r>
      <w:r w:rsidRPr="00863CB5">
        <w:rPr>
          <w:b/>
          <w:bCs/>
        </w:rPr>
        <w:t>. Resolved</w:t>
      </w:r>
      <w:r w:rsidRPr="00863CB5">
        <w:t>, that NYSDA oppose participation in the Dentist and Dental Hygienist Licensure Compact.</w:t>
      </w:r>
    </w:p>
    <w:p w14:paraId="566E806C" w14:textId="77777777" w:rsidR="00584273" w:rsidRPr="00863CB5" w:rsidRDefault="00584273" w:rsidP="00584273"/>
    <w:p w14:paraId="6841A2EC" w14:textId="77777777" w:rsidR="00584273" w:rsidRPr="00863CB5" w:rsidRDefault="00584273" w:rsidP="00584273">
      <w:r w:rsidRPr="00863CB5">
        <w:br/>
      </w:r>
    </w:p>
    <w:p w14:paraId="1A216262" w14:textId="77777777" w:rsidR="00584273" w:rsidRPr="00A8265A" w:rsidRDefault="00584273" w:rsidP="00A8265A">
      <w:pPr>
        <w:pStyle w:val="Default"/>
        <w:rPr>
          <w:bCs/>
          <w:color w:val="0D0D0D" w:themeColor="text1" w:themeTint="F2"/>
        </w:rPr>
      </w:pPr>
    </w:p>
    <w:sectPr w:rsidR="00584273" w:rsidRPr="00A8265A" w:rsidSect="00A8265A">
      <w:headerReference w:type="even" r:id="rId6"/>
      <w:headerReference w:type="default" r:id="rId7"/>
      <w:footerReference w:type="even" r:id="rId8"/>
      <w:type w:val="continuous"/>
      <w:pgSz w:w="12240" w:h="15840"/>
      <w:pgMar w:top="1080" w:right="1440" w:bottom="1440" w:left="1440" w:header="720" w:footer="720" w:gutter="0"/>
      <w:lnNumType w:countBy="1" w:restart="continuous"/>
      <w:pgNumType w:start="303"/>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313ABE" w14:textId="77777777" w:rsidR="00972736" w:rsidRDefault="00972736" w:rsidP="000D5AC1">
      <w:pPr>
        <w:spacing w:after="0" w:line="240" w:lineRule="auto"/>
      </w:pPr>
      <w:r>
        <w:separator/>
      </w:r>
    </w:p>
  </w:endnote>
  <w:endnote w:type="continuationSeparator" w:id="0">
    <w:p w14:paraId="3494007C" w14:textId="77777777" w:rsidR="00972736" w:rsidRDefault="00972736" w:rsidP="000D5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FCEFE" w14:textId="77777777" w:rsidR="00A60D87" w:rsidRDefault="00ED00D6">
    <w:pPr>
      <w:pStyle w:val="Footer"/>
    </w:pPr>
    <w:r>
      <w:rPr>
        <w:noProof/>
        <w:lang w:val="en-US" w:eastAsia="en-US"/>
      </w:rPr>
      <mc:AlternateContent>
        <mc:Choice Requires="wps">
          <w:drawing>
            <wp:anchor distT="0" distB="0" distL="114300" distR="114300" simplePos="0" relativeHeight="251657728" behindDoc="0" locked="0" layoutInCell="1" allowOverlap="1" wp14:anchorId="31E6B564" wp14:editId="7AC993F1">
              <wp:simplePos x="0" y="0"/>
              <wp:positionH relativeFrom="page">
                <wp:align>center</wp:align>
              </wp:positionH>
              <wp:positionV relativeFrom="page">
                <wp:posOffset>9144000</wp:posOffset>
              </wp:positionV>
              <wp:extent cx="2484120" cy="3937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4120" cy="393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23D83DB" w14:textId="77777777" w:rsidR="00A60D87" w:rsidRPr="0099521D" w:rsidRDefault="00A60D87" w:rsidP="00A60D87">
                          <w:pPr>
                            <w:jc w:val="center"/>
                            <w:rPr>
                              <w:rFonts w:ascii="Arial" w:hAnsi="Arial" w:cs="Arial"/>
                              <w:sz w:val="24"/>
                              <w:szCs w:val="24"/>
                            </w:rPr>
                          </w:pPr>
                          <w:r w:rsidRPr="0099521D">
                            <w:rPr>
                              <w:rFonts w:ascii="Arial" w:hAnsi="Arial" w:cs="Arial"/>
                              <w:sz w:val="24"/>
                              <w:szCs w:val="24"/>
                            </w:rPr>
                            <w:t>This page intentionally left blank</w:t>
                          </w:r>
                          <w:r>
                            <w:rPr>
                              <w:rFonts w:ascii="Arial" w:hAnsi="Arial" w:cs="Arial"/>
                              <w:sz w:val="24"/>
                              <w:szCs w:val="24"/>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1E6B564" id="_x0000_t202" coordsize="21600,21600" o:spt="202" path="m,l,21600r21600,l21600,xe">
              <v:stroke joinstyle="miter"/>
              <v:path gradientshapeok="t" o:connecttype="rect"/>
            </v:shapetype>
            <v:shape id="Text Box 1" o:spid="_x0000_s1026" type="#_x0000_t202" style="position:absolute;margin-left:0;margin-top:10in;width:195.6pt;height:31pt;z-index:251657728;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" stroked="f">
              <v:textbox style="mso-fit-shape-to-text:t">
                <w:txbxContent>
                  <w:p w14:paraId="223D83DB" w14:textId="77777777" w:rsidR="00A60D87" w:rsidRPr="0099521D" w:rsidRDefault="00A60D87" w:rsidP="00A60D87">
                    <w:pPr>
                      <w:jc w:val="center"/>
                      <w:rPr>
                        <w:rFonts w:ascii="Arial" w:hAnsi="Arial" w:cs="Arial"/>
                        <w:sz w:val="24"/>
                        <w:szCs w:val="24"/>
                      </w:rPr>
                    </w:pPr>
                    <w:r w:rsidRPr="0099521D">
                      <w:rPr>
                        <w:rFonts w:ascii="Arial" w:hAnsi="Arial" w:cs="Arial"/>
                        <w:sz w:val="24"/>
                        <w:szCs w:val="24"/>
                      </w:rPr>
                      <w:t>This page intentionally left blank</w:t>
                    </w:r>
                    <w:r>
                      <w:rPr>
                        <w:rFonts w:ascii="Arial" w:hAnsi="Arial" w:cs="Arial"/>
                        <w:sz w:val="24"/>
                        <w:szCs w:val="24"/>
                      </w:rPr>
                      <w: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0A53BB" w14:textId="77777777" w:rsidR="00972736" w:rsidRDefault="00972736" w:rsidP="000D5AC1">
      <w:pPr>
        <w:spacing w:after="0" w:line="240" w:lineRule="auto"/>
      </w:pPr>
      <w:r>
        <w:separator/>
      </w:r>
    </w:p>
  </w:footnote>
  <w:footnote w:type="continuationSeparator" w:id="0">
    <w:p w14:paraId="18EAE05F" w14:textId="77777777" w:rsidR="00972736" w:rsidRDefault="00972736" w:rsidP="000D5A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02901" w14:textId="77777777" w:rsidR="00DA0EF0" w:rsidRPr="00114574" w:rsidRDefault="00E1208E" w:rsidP="000D5AC1">
    <w:pPr>
      <w:pStyle w:val="Header"/>
      <w:rPr>
        <w:rFonts w:ascii="Arial" w:hAnsi="Arial" w:cs="Arial"/>
        <w:sz w:val="22"/>
        <w:szCs w:val="22"/>
      </w:rPr>
    </w:pPr>
    <w:r>
      <w:rPr>
        <w:rFonts w:ascii="Arial" w:hAnsi="Arial" w:cs="Arial"/>
        <w:noProof/>
        <w:sz w:val="22"/>
        <w:szCs w:val="22"/>
        <w:lang w:val="en-US"/>
      </w:rPr>
      <w:t>XXX</w:t>
    </w:r>
    <w:r w:rsidR="00DA0EF0" w:rsidRPr="00114574">
      <w:rPr>
        <w:rFonts w:ascii="Arial" w:hAnsi="Arial" w:cs="Arial"/>
        <w:noProof/>
        <w:sz w:val="22"/>
        <w:szCs w:val="22"/>
      </w:rPr>
      <w:tab/>
    </w:r>
    <w:r w:rsidR="00DA0EF0" w:rsidRPr="00114574">
      <w:rPr>
        <w:rFonts w:ascii="Arial" w:hAnsi="Arial" w:cs="Arial"/>
        <w:noProof/>
        <w:sz w:val="22"/>
        <w:szCs w:val="22"/>
      </w:rPr>
      <w:tab/>
    </w:r>
    <w:r>
      <w:rPr>
        <w:rFonts w:ascii="Arial" w:hAnsi="Arial" w:cs="Arial"/>
        <w:noProof/>
        <w:sz w:val="22"/>
        <w:szCs w:val="22"/>
        <w:lang w:val="en-US"/>
      </w:rPr>
      <w:t>June 2015-H</w:t>
    </w:r>
    <w:r w:rsidR="00DA0EF0" w:rsidRPr="00114574">
      <w:rPr>
        <w:rFonts w:ascii="Arial" w:hAnsi="Arial" w:cs="Arial"/>
        <w:noProof/>
        <w:sz w:val="22"/>
        <w:szCs w:val="22"/>
      </w:rPr>
      <w:tab/>
    </w:r>
    <w:r w:rsidR="00DA0EF0" w:rsidRPr="00114574">
      <w:rPr>
        <w:rFonts w:ascii="Arial" w:hAnsi="Arial" w:cs="Arial"/>
        <w:noProof/>
        <w:sz w:val="22"/>
        <w:szCs w:val="22"/>
      </w:rPr>
      <w:tab/>
    </w:r>
    <w:r w:rsidR="00DA0EF0" w:rsidRPr="00114574">
      <w:rPr>
        <w:rFonts w:ascii="Arial" w:hAnsi="Arial" w:cs="Arial"/>
        <w:noProof/>
        <w:sz w:val="22"/>
        <w:szCs w:val="22"/>
      </w:rPr>
      <w:tab/>
    </w:r>
    <w:r w:rsidR="00DA0EF0" w:rsidRPr="00114574">
      <w:rPr>
        <w:rFonts w:ascii="Arial" w:hAnsi="Arial" w:cs="Arial"/>
        <w:noProof/>
        <w:sz w:val="22"/>
        <w:szCs w:val="22"/>
      </w:rPr>
      <w:tab/>
    </w:r>
    <w:r w:rsidR="00DA0EF0" w:rsidRPr="00114574">
      <w:rPr>
        <w:rFonts w:ascii="Arial" w:hAnsi="Arial" w:cs="Arial"/>
        <w:noProof/>
        <w:sz w:val="22"/>
        <w:szCs w:val="22"/>
      </w:rPr>
      <w:tab/>
    </w:r>
    <w:r w:rsidR="00DA0EF0" w:rsidRPr="00114574">
      <w:rPr>
        <w:rFonts w:ascii="Arial" w:hAnsi="Arial" w:cs="Arial"/>
        <w:sz w:val="22"/>
        <w:szCs w:val="22"/>
      </w:rPr>
      <w:tab/>
    </w:r>
    <w:r w:rsidR="00DA0EF0" w:rsidRPr="00114574">
      <w:rPr>
        <w:rFonts w:ascii="Arial" w:hAnsi="Arial" w:cs="Arial"/>
        <w:sz w:val="22"/>
        <w:szCs w:val="22"/>
      </w:rPr>
      <w:tab/>
    </w:r>
  </w:p>
  <w:p w14:paraId="3F31D385" w14:textId="77777777" w:rsidR="00DA0EF0" w:rsidRPr="00114574" w:rsidRDefault="005C6533" w:rsidP="000D5AC1">
    <w:pPr>
      <w:widowControl/>
      <w:tabs>
        <w:tab w:val="center" w:pos="4680"/>
        <w:tab w:val="right" w:pos="9360"/>
      </w:tabs>
      <w:spacing w:after="0" w:line="240" w:lineRule="auto"/>
      <w:rPr>
        <w:rFonts w:ascii="Arial" w:hAnsi="Arial" w:cs="Arial"/>
      </w:rPr>
    </w:pPr>
    <w:r w:rsidRPr="00114574">
      <w:rPr>
        <w:rFonts w:ascii="Arial" w:hAnsi="Arial" w:cs="Arial"/>
      </w:rPr>
      <w:t>Board of Trustees</w:t>
    </w:r>
  </w:p>
  <w:p w14:paraId="758C6C15" w14:textId="77777777" w:rsidR="005C6533" w:rsidRPr="00114574" w:rsidRDefault="005C6533" w:rsidP="000D5AC1">
    <w:pPr>
      <w:widowControl/>
      <w:tabs>
        <w:tab w:val="center" w:pos="4680"/>
        <w:tab w:val="right" w:pos="9360"/>
      </w:tabs>
      <w:spacing w:after="0" w:line="240" w:lineRule="auto"/>
      <w:rPr>
        <w:rFonts w:ascii="Arial" w:hAnsi="Arial" w:cs="Arial"/>
      </w:rPr>
    </w:pPr>
    <w:r w:rsidRPr="00114574">
      <w:rPr>
        <w:rFonts w:ascii="Arial" w:hAnsi="Arial" w:cs="Arial"/>
      </w:rPr>
      <w:t>ADA Delegate/Alternate Delegate Nominations</w:t>
    </w:r>
  </w:p>
  <w:p w14:paraId="271B4882" w14:textId="77777777" w:rsidR="00DA0EF0" w:rsidRDefault="00DA0EF0" w:rsidP="000D5AC1">
    <w:pPr>
      <w:widowControl/>
      <w:tabs>
        <w:tab w:val="center" w:pos="4680"/>
        <w:tab w:val="right" w:pos="9360"/>
      </w:tabs>
      <w:spacing w:after="0" w:line="240" w:lineRule="auto"/>
      <w:rPr>
        <w:rFonts w:ascii="Arial" w:hAnsi="Arial" w:cs="Arial"/>
      </w:rPr>
    </w:pPr>
    <w:r w:rsidRPr="00114574">
      <w:rPr>
        <w:rFonts w:ascii="Arial" w:hAnsi="Arial" w:cs="Arial"/>
      </w:rPr>
      <w:t>DIRECT</w:t>
    </w:r>
  </w:p>
  <w:p w14:paraId="5CB965D6" w14:textId="77777777" w:rsidR="004A63DB" w:rsidRPr="00114574" w:rsidRDefault="004A63DB" w:rsidP="000D5AC1">
    <w:pPr>
      <w:widowControl/>
      <w:tabs>
        <w:tab w:val="center" w:pos="4680"/>
        <w:tab w:val="right" w:pos="9360"/>
      </w:tabs>
      <w:spacing w:after="0" w:line="240" w:lineRule="auto"/>
      <w:rPr>
        <w:rFonts w:ascii="Arial" w:hAnsi="Arial" w:cs="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8121E" w14:textId="04EE2C57" w:rsidR="00DA0EF0" w:rsidRDefault="00032EB8" w:rsidP="000D5AC1">
    <w:pPr>
      <w:pStyle w:val="Header"/>
      <w:rPr>
        <w:rFonts w:ascii="Arial" w:hAnsi="Arial" w:cs="Arial"/>
        <w:sz w:val="22"/>
        <w:szCs w:val="22"/>
        <w:lang w:val="en-US"/>
      </w:rPr>
    </w:pPr>
    <w:r>
      <w:rPr>
        <w:rFonts w:ascii="Arial" w:hAnsi="Arial" w:cs="Arial"/>
        <w:sz w:val="22"/>
        <w:szCs w:val="22"/>
        <w:lang w:val="en-US"/>
      </w:rPr>
      <w:t>May 202</w:t>
    </w:r>
    <w:r w:rsidR="00267DE4">
      <w:rPr>
        <w:rFonts w:ascii="Arial" w:hAnsi="Arial" w:cs="Arial"/>
        <w:sz w:val="22"/>
        <w:szCs w:val="22"/>
        <w:lang w:val="en-US"/>
      </w:rPr>
      <w:t>5</w:t>
    </w:r>
    <w:r w:rsidR="00DA0EF0" w:rsidRPr="00114574">
      <w:rPr>
        <w:rFonts w:ascii="Arial" w:hAnsi="Arial" w:cs="Arial"/>
        <w:sz w:val="22"/>
        <w:szCs w:val="22"/>
      </w:rPr>
      <w:t>-H</w:t>
    </w:r>
    <w:r w:rsidR="00DA0EF0" w:rsidRPr="00114574">
      <w:rPr>
        <w:rFonts w:ascii="Arial" w:hAnsi="Arial" w:cs="Arial"/>
        <w:sz w:val="22"/>
        <w:szCs w:val="22"/>
      </w:rPr>
      <w:tab/>
    </w:r>
    <w:r w:rsidR="00DA0EF0" w:rsidRPr="00114574">
      <w:rPr>
        <w:rFonts w:ascii="Arial" w:hAnsi="Arial" w:cs="Arial"/>
        <w:sz w:val="22"/>
        <w:szCs w:val="22"/>
      </w:rPr>
      <w:tab/>
    </w:r>
    <w:r w:rsidR="009B2F79" w:rsidRPr="009B2F79">
      <w:rPr>
        <w:rFonts w:ascii="Arial" w:hAnsi="Arial" w:cs="Arial"/>
        <w:sz w:val="22"/>
        <w:szCs w:val="22"/>
      </w:rPr>
      <w:fldChar w:fldCharType="begin"/>
    </w:r>
    <w:r w:rsidR="009B2F79" w:rsidRPr="009B2F79">
      <w:rPr>
        <w:rFonts w:ascii="Arial" w:hAnsi="Arial" w:cs="Arial"/>
        <w:sz w:val="22"/>
        <w:szCs w:val="22"/>
      </w:rPr>
      <w:instrText xml:space="preserve"> PAGE   \* MERGEFORMAT </w:instrText>
    </w:r>
    <w:r w:rsidR="009B2F79" w:rsidRPr="009B2F79">
      <w:rPr>
        <w:rFonts w:ascii="Arial" w:hAnsi="Arial" w:cs="Arial"/>
        <w:sz w:val="22"/>
        <w:szCs w:val="22"/>
      </w:rPr>
      <w:fldChar w:fldCharType="separate"/>
    </w:r>
    <w:r w:rsidR="00E6256E">
      <w:rPr>
        <w:rFonts w:ascii="Arial" w:hAnsi="Arial" w:cs="Arial"/>
        <w:noProof/>
        <w:sz w:val="22"/>
        <w:szCs w:val="22"/>
      </w:rPr>
      <w:t>214</w:t>
    </w:r>
    <w:r w:rsidR="009B2F79" w:rsidRPr="009B2F79">
      <w:rPr>
        <w:rFonts w:ascii="Arial" w:hAnsi="Arial" w:cs="Arial"/>
        <w:noProof/>
        <w:sz w:val="22"/>
        <w:szCs w:val="22"/>
      </w:rPr>
      <w:fldChar w:fldCharType="end"/>
    </w:r>
  </w:p>
  <w:p w14:paraId="721BD612" w14:textId="54C5AD58" w:rsidR="00DA0EF0" w:rsidRPr="00114574" w:rsidRDefault="00584273" w:rsidP="000D5AC1">
    <w:pPr>
      <w:widowControl/>
      <w:tabs>
        <w:tab w:val="center" w:pos="4680"/>
        <w:tab w:val="right" w:pos="9360"/>
      </w:tabs>
      <w:spacing w:after="0" w:line="240" w:lineRule="auto"/>
      <w:jc w:val="right"/>
      <w:rPr>
        <w:rFonts w:ascii="Arial" w:hAnsi="Arial" w:cs="Arial"/>
      </w:rPr>
    </w:pPr>
    <w:r>
      <w:rPr>
        <w:rFonts w:ascii="Arial" w:hAnsi="Arial" w:cs="Arial"/>
      </w:rPr>
      <w:t>DHPHD</w:t>
    </w:r>
  </w:p>
  <w:p w14:paraId="13A634D3" w14:textId="1AD4F156" w:rsidR="00DA0EF0" w:rsidRPr="00114574" w:rsidRDefault="000E7F72" w:rsidP="000D5AC1">
    <w:pPr>
      <w:widowControl/>
      <w:tabs>
        <w:tab w:val="center" w:pos="4680"/>
        <w:tab w:val="right" w:pos="9360"/>
      </w:tabs>
      <w:spacing w:after="0" w:line="240" w:lineRule="auto"/>
      <w:jc w:val="right"/>
      <w:rPr>
        <w:rFonts w:ascii="Arial" w:hAnsi="Arial" w:cs="Arial"/>
      </w:rPr>
    </w:pPr>
    <w:r>
      <w:rPr>
        <w:rFonts w:ascii="Arial" w:hAnsi="Arial" w:cs="Arial"/>
      </w:rPr>
      <w:t>Reference Committee</w:t>
    </w:r>
  </w:p>
  <w:p w14:paraId="6A453EE4" w14:textId="77777777" w:rsidR="00DA0EF0" w:rsidRDefault="00DA0EF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2681"/>
    <w:rsid w:val="000169DF"/>
    <w:rsid w:val="00020697"/>
    <w:rsid w:val="00023C62"/>
    <w:rsid w:val="00032EB8"/>
    <w:rsid w:val="00076CE4"/>
    <w:rsid w:val="00090065"/>
    <w:rsid w:val="000A7C02"/>
    <w:rsid w:val="000C0972"/>
    <w:rsid w:val="000D5AC1"/>
    <w:rsid w:val="000E1EC4"/>
    <w:rsid w:val="000E7F72"/>
    <w:rsid w:val="000F76E6"/>
    <w:rsid w:val="00114574"/>
    <w:rsid w:val="00136D96"/>
    <w:rsid w:val="0016415D"/>
    <w:rsid w:val="00175217"/>
    <w:rsid w:val="001813BC"/>
    <w:rsid w:val="001964BD"/>
    <w:rsid w:val="001F4082"/>
    <w:rsid w:val="00203A5B"/>
    <w:rsid w:val="00217867"/>
    <w:rsid w:val="00230C74"/>
    <w:rsid w:val="002623AA"/>
    <w:rsid w:val="00267DE4"/>
    <w:rsid w:val="002740AA"/>
    <w:rsid w:val="002770AE"/>
    <w:rsid w:val="002D6036"/>
    <w:rsid w:val="00345141"/>
    <w:rsid w:val="003840EB"/>
    <w:rsid w:val="003A36F8"/>
    <w:rsid w:val="003C3BBA"/>
    <w:rsid w:val="003C61F6"/>
    <w:rsid w:val="003E6830"/>
    <w:rsid w:val="003F0AAB"/>
    <w:rsid w:val="003F36B4"/>
    <w:rsid w:val="0040700B"/>
    <w:rsid w:val="00431C0B"/>
    <w:rsid w:val="004442B5"/>
    <w:rsid w:val="00472CAD"/>
    <w:rsid w:val="0049102B"/>
    <w:rsid w:val="0049727E"/>
    <w:rsid w:val="004A63DB"/>
    <w:rsid w:val="004B1FD6"/>
    <w:rsid w:val="004B7F91"/>
    <w:rsid w:val="004F20BF"/>
    <w:rsid w:val="005624BE"/>
    <w:rsid w:val="00584273"/>
    <w:rsid w:val="0058716A"/>
    <w:rsid w:val="005C6533"/>
    <w:rsid w:val="005D0F15"/>
    <w:rsid w:val="006439D1"/>
    <w:rsid w:val="00667575"/>
    <w:rsid w:val="00670453"/>
    <w:rsid w:val="006864E0"/>
    <w:rsid w:val="006878D3"/>
    <w:rsid w:val="006C7F2F"/>
    <w:rsid w:val="006E6A24"/>
    <w:rsid w:val="00740E77"/>
    <w:rsid w:val="007D7C25"/>
    <w:rsid w:val="008207DC"/>
    <w:rsid w:val="008464E7"/>
    <w:rsid w:val="0086275F"/>
    <w:rsid w:val="00880C0D"/>
    <w:rsid w:val="008D28FC"/>
    <w:rsid w:val="008E53D7"/>
    <w:rsid w:val="00912CC7"/>
    <w:rsid w:val="009523C1"/>
    <w:rsid w:val="00972736"/>
    <w:rsid w:val="00987B2F"/>
    <w:rsid w:val="00990323"/>
    <w:rsid w:val="00990BD4"/>
    <w:rsid w:val="009A3DFE"/>
    <w:rsid w:val="009B2F79"/>
    <w:rsid w:val="009C19B8"/>
    <w:rsid w:val="009D6417"/>
    <w:rsid w:val="00A03B06"/>
    <w:rsid w:val="00A27456"/>
    <w:rsid w:val="00A45956"/>
    <w:rsid w:val="00A53937"/>
    <w:rsid w:val="00A60D87"/>
    <w:rsid w:val="00A630BA"/>
    <w:rsid w:val="00A8265A"/>
    <w:rsid w:val="00A95837"/>
    <w:rsid w:val="00AA565F"/>
    <w:rsid w:val="00AC379C"/>
    <w:rsid w:val="00B03080"/>
    <w:rsid w:val="00B90FA1"/>
    <w:rsid w:val="00BE2E5E"/>
    <w:rsid w:val="00C008F6"/>
    <w:rsid w:val="00C120C2"/>
    <w:rsid w:val="00C206AE"/>
    <w:rsid w:val="00C50B1E"/>
    <w:rsid w:val="00C57FD4"/>
    <w:rsid w:val="00C70888"/>
    <w:rsid w:val="00CE42D9"/>
    <w:rsid w:val="00CE5E1A"/>
    <w:rsid w:val="00D31B1F"/>
    <w:rsid w:val="00D52681"/>
    <w:rsid w:val="00D54C70"/>
    <w:rsid w:val="00D76811"/>
    <w:rsid w:val="00D816D1"/>
    <w:rsid w:val="00D96E65"/>
    <w:rsid w:val="00DA0EF0"/>
    <w:rsid w:val="00DF3B2F"/>
    <w:rsid w:val="00E1208E"/>
    <w:rsid w:val="00E2238D"/>
    <w:rsid w:val="00E22882"/>
    <w:rsid w:val="00E27F05"/>
    <w:rsid w:val="00E577FB"/>
    <w:rsid w:val="00E6256E"/>
    <w:rsid w:val="00E70622"/>
    <w:rsid w:val="00E72E9F"/>
    <w:rsid w:val="00E77E99"/>
    <w:rsid w:val="00EA4EEA"/>
    <w:rsid w:val="00ED00D6"/>
    <w:rsid w:val="00ED2692"/>
    <w:rsid w:val="00F023B9"/>
    <w:rsid w:val="00F038CF"/>
    <w:rsid w:val="00F543CF"/>
    <w:rsid w:val="00F63023"/>
    <w:rsid w:val="00F9607C"/>
    <w:rsid w:val="00FA3E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598F0B"/>
  <w15:chartTrackingRefBased/>
  <w15:docId w15:val="{7309CFC4-7CFA-411C-A5B5-87FA85759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2681"/>
    <w:pPr>
      <w:widowControl w:val="0"/>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D52681"/>
  </w:style>
  <w:style w:type="paragraph" w:styleId="Header">
    <w:name w:val="header"/>
    <w:basedOn w:val="Normal"/>
    <w:link w:val="HeaderChar"/>
    <w:uiPriority w:val="99"/>
    <w:unhideWhenUsed/>
    <w:rsid w:val="000D5AC1"/>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0D5AC1"/>
    <w:rPr>
      <w:rFonts w:ascii="Calibri" w:eastAsia="Calibri" w:hAnsi="Calibri" w:cs="Times New Roman"/>
    </w:rPr>
  </w:style>
  <w:style w:type="paragraph" w:styleId="Footer">
    <w:name w:val="footer"/>
    <w:basedOn w:val="Normal"/>
    <w:link w:val="FooterChar"/>
    <w:uiPriority w:val="99"/>
    <w:unhideWhenUsed/>
    <w:rsid w:val="000D5AC1"/>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0D5AC1"/>
    <w:rPr>
      <w:rFonts w:ascii="Calibri" w:eastAsia="Calibri" w:hAnsi="Calibri" w:cs="Times New Roman"/>
    </w:rPr>
  </w:style>
  <w:style w:type="paragraph" w:styleId="BalloonText">
    <w:name w:val="Balloon Text"/>
    <w:basedOn w:val="Normal"/>
    <w:link w:val="BalloonTextChar"/>
    <w:uiPriority w:val="99"/>
    <w:semiHidden/>
    <w:unhideWhenUsed/>
    <w:rsid w:val="000D5AC1"/>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0D5AC1"/>
    <w:rPr>
      <w:rFonts w:ascii="Tahoma" w:eastAsia="Calibri" w:hAnsi="Tahoma" w:cs="Tahoma"/>
      <w:sz w:val="16"/>
      <w:szCs w:val="16"/>
    </w:rPr>
  </w:style>
  <w:style w:type="paragraph" w:customStyle="1" w:styleId="Default">
    <w:name w:val="Default"/>
    <w:rsid w:val="00A8265A"/>
    <w:pPr>
      <w:autoSpaceDE w:val="0"/>
      <w:autoSpaceDN w:val="0"/>
      <w:adjustRightInd w:val="0"/>
    </w:pPr>
    <w:rPr>
      <w:rFonts w:ascii="Arial" w:eastAsiaTheme="minorHAnsi" w:hAnsi="Arial" w:cs="Arial"/>
      <w:color w:val="000000"/>
      <w:sz w:val="24"/>
      <w:szCs w:val="24"/>
    </w:rPr>
  </w:style>
  <w:style w:type="paragraph" w:styleId="BodyTextIndent2">
    <w:name w:val="Body Text Indent 2"/>
    <w:basedOn w:val="Normal"/>
    <w:link w:val="BodyTextIndent2Char"/>
    <w:unhideWhenUsed/>
    <w:qFormat/>
    <w:rsid w:val="00584273"/>
    <w:pPr>
      <w:widowControl/>
      <w:spacing w:after="0" w:line="240" w:lineRule="auto"/>
      <w:ind w:left="-399"/>
    </w:pPr>
    <w:rPr>
      <w:rFonts w:ascii="Times New Roman" w:eastAsia="Times New Roman" w:hAnsi="Times New Roman"/>
      <w:sz w:val="24"/>
      <w:szCs w:val="24"/>
    </w:rPr>
  </w:style>
  <w:style w:type="character" w:customStyle="1" w:styleId="BodyTextIndent2Char">
    <w:name w:val="Body Text Indent 2 Char"/>
    <w:basedOn w:val="DefaultParagraphFont"/>
    <w:link w:val="BodyTextIndent2"/>
    <w:qFormat/>
    <w:rsid w:val="00584273"/>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496</Words>
  <Characters>2830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Wanek</dc:creator>
  <cp:keywords/>
  <cp:lastModifiedBy>Jenna Bell</cp:lastModifiedBy>
  <cp:revision>3</cp:revision>
  <cp:lastPrinted>2017-05-13T13:08:00Z</cp:lastPrinted>
  <dcterms:created xsi:type="dcterms:W3CDTF">2026-04-21T18:06:00Z</dcterms:created>
  <dcterms:modified xsi:type="dcterms:W3CDTF">2026-04-21T18:08:00Z</dcterms:modified>
</cp:coreProperties>
</file>