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Borders>
          <w:top w:val="single" w:sz="4" w:space="0" w:color="auto"/>
          <w:left w:val="single" w:sz="4" w:space="0" w:color="auto"/>
          <w:bottom w:val="single" w:sz="4" w:space="0" w:color="auto"/>
          <w:right w:val="single" w:sz="4" w:space="0" w:color="auto"/>
        </w:tblBorders>
        <w:shd w:val="pct12" w:color="auto" w:fill="auto"/>
        <w:tblLayout w:type="fixed"/>
        <w:tblLook w:val="0000" w:firstRow="0" w:lastRow="0" w:firstColumn="0" w:lastColumn="0" w:noHBand="0" w:noVBand="0"/>
      </w:tblPr>
      <w:tblGrid>
        <w:gridCol w:w="1908"/>
        <w:gridCol w:w="189"/>
        <w:gridCol w:w="873"/>
        <w:gridCol w:w="1278"/>
        <w:gridCol w:w="90"/>
        <w:gridCol w:w="540"/>
        <w:gridCol w:w="810"/>
        <w:gridCol w:w="1350"/>
        <w:gridCol w:w="360"/>
        <w:gridCol w:w="2070"/>
      </w:tblGrid>
      <w:tr w:rsidR="00D52681" w:rsidRPr="00D52681" w14:paraId="4CED8942" w14:textId="77777777" w:rsidTr="009523C1">
        <w:tc>
          <w:tcPr>
            <w:tcW w:w="1908" w:type="dxa"/>
            <w:shd w:val="pct12" w:color="auto" w:fill="auto"/>
          </w:tcPr>
          <w:p w14:paraId="00C748A7" w14:textId="77777777" w:rsidR="00D52681" w:rsidRPr="00D52681" w:rsidRDefault="00D52681" w:rsidP="00D5268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after="0" w:line="240" w:lineRule="auto"/>
              <w:rPr>
                <w:rFonts w:ascii="Arial" w:hAnsi="Arial" w:cs="Arial"/>
                <w:color w:val="000000"/>
                <w:szCs w:val="20"/>
              </w:rPr>
            </w:pPr>
            <w:r w:rsidRPr="00D52681">
              <w:rPr>
                <w:rFonts w:ascii="Arial" w:hAnsi="Arial" w:cs="Arial"/>
                <w:szCs w:val="20"/>
              </w:rPr>
              <w:t xml:space="preserve">Resolution </w:t>
            </w:r>
            <w:r w:rsidRPr="00D52681">
              <w:rPr>
                <w:rFonts w:ascii="Arial" w:hAnsi="Arial" w:cs="Arial"/>
                <w:color w:val="000000"/>
                <w:szCs w:val="20"/>
              </w:rPr>
              <w:t>No.</w:t>
            </w:r>
          </w:p>
        </w:tc>
        <w:tc>
          <w:tcPr>
            <w:tcW w:w="2430" w:type="dxa"/>
            <w:gridSpan w:val="4"/>
            <w:shd w:val="pct12" w:color="auto" w:fill="auto"/>
          </w:tcPr>
          <w:p w14:paraId="783ADFF8" w14:textId="7C23DF92" w:rsidR="00D52681" w:rsidRPr="00D52681" w:rsidRDefault="00CD7602" w:rsidP="00D5268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after="0" w:line="240" w:lineRule="auto"/>
              <w:rPr>
                <w:rFonts w:ascii="Arial" w:hAnsi="Arial" w:cs="Arial"/>
                <w:color w:val="000000"/>
                <w:szCs w:val="20"/>
              </w:rPr>
            </w:pPr>
            <w:r>
              <w:rPr>
                <w:rFonts w:ascii="Arial" w:hAnsi="Arial" w:cs="Arial"/>
                <w:color w:val="000000"/>
                <w:szCs w:val="20"/>
              </w:rPr>
              <w:t>6</w:t>
            </w:r>
          </w:p>
        </w:tc>
        <w:tc>
          <w:tcPr>
            <w:tcW w:w="1350" w:type="dxa"/>
            <w:gridSpan w:val="2"/>
            <w:shd w:val="pct12" w:color="auto" w:fill="auto"/>
          </w:tcPr>
          <w:p w14:paraId="05AF1ADE" w14:textId="77777777" w:rsidR="00D52681" w:rsidRPr="00D52681" w:rsidRDefault="00D52681" w:rsidP="00D52681">
            <w:pPr>
              <w:widowControl/>
              <w:tabs>
                <w:tab w:val="left" w:pos="687"/>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after="0" w:line="240" w:lineRule="auto"/>
              <w:ind w:left="72" w:hanging="7"/>
              <w:rPr>
                <w:rFonts w:ascii="Arial" w:hAnsi="Arial" w:cs="Arial"/>
                <w:color w:val="000000"/>
                <w:szCs w:val="20"/>
              </w:rPr>
            </w:pPr>
            <w:r w:rsidRPr="00D52681">
              <w:rPr>
                <w:rFonts w:ascii="Arial" w:hAnsi="Arial" w:cs="Arial"/>
                <w:color w:val="000000"/>
                <w:szCs w:val="20"/>
              </w:rPr>
              <w:t xml:space="preserve">New </w:t>
            </w:r>
            <w:r>
              <w:rPr>
                <w:rFonts w:ascii="Arial" w:hAnsi="Arial" w:cs="Arial"/>
                <w:color w:val="000000"/>
                <w:szCs w:val="20"/>
              </w:rPr>
              <w:sym w:font="Wingdings" w:char="F06E"/>
            </w:r>
          </w:p>
        </w:tc>
        <w:tc>
          <w:tcPr>
            <w:tcW w:w="1710" w:type="dxa"/>
            <w:gridSpan w:val="2"/>
            <w:shd w:val="pct12" w:color="auto" w:fill="auto"/>
          </w:tcPr>
          <w:p w14:paraId="29A679B6" w14:textId="77777777" w:rsidR="00D52681" w:rsidRPr="00D52681" w:rsidRDefault="00D52681" w:rsidP="00D5268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after="0" w:line="240" w:lineRule="auto"/>
              <w:rPr>
                <w:rFonts w:ascii="Arial" w:hAnsi="Arial" w:cs="Arial"/>
                <w:color w:val="000000"/>
                <w:szCs w:val="20"/>
              </w:rPr>
            </w:pPr>
            <w:r w:rsidRPr="00D52681">
              <w:rPr>
                <w:rFonts w:ascii="Arial" w:hAnsi="Arial" w:cs="Arial"/>
                <w:color w:val="000000"/>
                <w:szCs w:val="20"/>
              </w:rPr>
              <w:t xml:space="preserve">Substitute </w:t>
            </w:r>
            <w:r w:rsidRPr="00D52681">
              <w:rPr>
                <w:rFonts w:ascii="Arial" w:hAnsi="Arial" w:cs="Arial"/>
                <w:color w:val="000000"/>
                <w:szCs w:val="20"/>
              </w:rPr>
              <w:sym w:font="Wingdings" w:char="F06F"/>
            </w:r>
          </w:p>
        </w:tc>
        <w:tc>
          <w:tcPr>
            <w:tcW w:w="2070" w:type="dxa"/>
            <w:shd w:val="pct12" w:color="auto" w:fill="auto"/>
          </w:tcPr>
          <w:p w14:paraId="72980465" w14:textId="77777777" w:rsidR="00D52681" w:rsidRPr="00D52681" w:rsidRDefault="00D52681" w:rsidP="00D52681">
            <w:pPr>
              <w:widowControl/>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after="0" w:line="240" w:lineRule="auto"/>
              <w:ind w:right="-105"/>
              <w:rPr>
                <w:rFonts w:ascii="Arial" w:hAnsi="Arial" w:cs="Arial"/>
                <w:color w:val="000000"/>
                <w:szCs w:val="20"/>
              </w:rPr>
            </w:pPr>
            <w:r w:rsidRPr="00D52681">
              <w:rPr>
                <w:rFonts w:ascii="Arial" w:hAnsi="Arial" w:cs="Arial"/>
                <w:color w:val="000000"/>
                <w:szCs w:val="20"/>
              </w:rPr>
              <w:t xml:space="preserve">Amendment </w:t>
            </w:r>
            <w:r w:rsidRPr="00D52681">
              <w:rPr>
                <w:rFonts w:ascii="Arial" w:hAnsi="Arial" w:cs="Arial"/>
                <w:color w:val="000000"/>
                <w:szCs w:val="20"/>
              </w:rPr>
              <w:sym w:font="Wingdings" w:char="F06F"/>
            </w:r>
          </w:p>
        </w:tc>
      </w:tr>
      <w:tr w:rsidR="00D52681" w:rsidRPr="00D52681" w14:paraId="25787B10" w14:textId="77777777" w:rsidTr="009523C1">
        <w:tc>
          <w:tcPr>
            <w:tcW w:w="1908" w:type="dxa"/>
            <w:shd w:val="pct12" w:color="auto" w:fill="auto"/>
          </w:tcPr>
          <w:p w14:paraId="4FB7787A" w14:textId="77777777" w:rsidR="00D52681" w:rsidRPr="00D52681" w:rsidRDefault="00D52681" w:rsidP="00D5268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after="0" w:line="240" w:lineRule="auto"/>
              <w:rPr>
                <w:rFonts w:ascii="Arial" w:hAnsi="Arial" w:cs="Arial"/>
                <w:color w:val="000000"/>
                <w:szCs w:val="20"/>
              </w:rPr>
            </w:pPr>
            <w:r w:rsidRPr="00D52681">
              <w:rPr>
                <w:rFonts w:ascii="Arial" w:hAnsi="Arial" w:cs="Arial"/>
                <w:color w:val="000000"/>
                <w:szCs w:val="20"/>
              </w:rPr>
              <w:t>Submitted By:</w:t>
            </w:r>
          </w:p>
        </w:tc>
        <w:tc>
          <w:tcPr>
            <w:tcW w:w="7560" w:type="dxa"/>
            <w:gridSpan w:val="9"/>
            <w:shd w:val="pct12" w:color="auto" w:fill="auto"/>
          </w:tcPr>
          <w:p w14:paraId="4C95AF72" w14:textId="5FDA749F" w:rsidR="00D52681" w:rsidRPr="00D52681" w:rsidRDefault="00905488" w:rsidP="00D5268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after="0" w:line="240" w:lineRule="auto"/>
              <w:rPr>
                <w:rFonts w:ascii="Arial" w:hAnsi="Arial" w:cs="Arial"/>
                <w:color w:val="000000"/>
                <w:szCs w:val="20"/>
              </w:rPr>
            </w:pPr>
            <w:r>
              <w:rPr>
                <w:rFonts w:ascii="Arial" w:hAnsi="Arial" w:cs="Arial"/>
                <w:szCs w:val="20"/>
              </w:rPr>
              <w:t xml:space="preserve">CDEL </w:t>
            </w:r>
          </w:p>
        </w:tc>
      </w:tr>
      <w:tr w:rsidR="00D52681" w:rsidRPr="00D52681" w14:paraId="70693029" w14:textId="77777777" w:rsidTr="009523C1">
        <w:tc>
          <w:tcPr>
            <w:tcW w:w="1908" w:type="dxa"/>
            <w:shd w:val="pct12" w:color="auto" w:fill="auto"/>
          </w:tcPr>
          <w:p w14:paraId="1A15D5B4" w14:textId="77777777" w:rsidR="00D52681" w:rsidRPr="00D52681" w:rsidRDefault="00D52681" w:rsidP="00D5268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after="0" w:line="240" w:lineRule="auto"/>
              <w:rPr>
                <w:rFonts w:ascii="Arial" w:hAnsi="Arial" w:cs="Arial"/>
                <w:color w:val="000000"/>
                <w:szCs w:val="20"/>
              </w:rPr>
            </w:pPr>
            <w:r w:rsidRPr="00D52681">
              <w:rPr>
                <w:rFonts w:ascii="Arial" w:hAnsi="Arial" w:cs="Arial"/>
                <w:color w:val="000000"/>
                <w:szCs w:val="20"/>
              </w:rPr>
              <w:t>Date Submitted:</w:t>
            </w:r>
          </w:p>
        </w:tc>
        <w:tc>
          <w:tcPr>
            <w:tcW w:w="2340" w:type="dxa"/>
            <w:gridSpan w:val="3"/>
            <w:shd w:val="pct12" w:color="auto" w:fill="auto"/>
          </w:tcPr>
          <w:p w14:paraId="52B41968" w14:textId="5E9F0ACD" w:rsidR="00D52681" w:rsidRPr="00D52681" w:rsidRDefault="00A8265A" w:rsidP="00023C6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after="0" w:line="240" w:lineRule="auto"/>
              <w:rPr>
                <w:rFonts w:ascii="Arial" w:hAnsi="Arial" w:cs="Arial"/>
                <w:color w:val="000000"/>
                <w:szCs w:val="20"/>
              </w:rPr>
            </w:pPr>
            <w:r>
              <w:rPr>
                <w:rFonts w:ascii="Arial" w:hAnsi="Arial" w:cs="Arial"/>
                <w:color w:val="000000"/>
                <w:szCs w:val="20"/>
              </w:rPr>
              <w:t>April 11</w:t>
            </w:r>
            <w:r w:rsidR="00032EB8">
              <w:rPr>
                <w:rFonts w:ascii="Arial" w:hAnsi="Arial" w:cs="Arial"/>
                <w:color w:val="000000"/>
                <w:szCs w:val="20"/>
              </w:rPr>
              <w:t>, 202</w:t>
            </w:r>
            <w:r w:rsidR="00267DE4">
              <w:rPr>
                <w:rFonts w:ascii="Arial" w:hAnsi="Arial" w:cs="Arial"/>
                <w:color w:val="000000"/>
                <w:szCs w:val="20"/>
              </w:rPr>
              <w:t>5</w:t>
            </w:r>
          </w:p>
        </w:tc>
        <w:tc>
          <w:tcPr>
            <w:tcW w:w="3150" w:type="dxa"/>
            <w:gridSpan w:val="5"/>
            <w:shd w:val="pct12" w:color="auto" w:fill="auto"/>
          </w:tcPr>
          <w:p w14:paraId="623F7B67" w14:textId="246FD3E3" w:rsidR="00D52681" w:rsidRPr="00D52681" w:rsidRDefault="00D52681" w:rsidP="00D5268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after="0" w:line="240" w:lineRule="auto"/>
              <w:rPr>
                <w:rFonts w:ascii="Arial" w:hAnsi="Arial" w:cs="Arial"/>
                <w:color w:val="000000"/>
                <w:szCs w:val="20"/>
              </w:rPr>
            </w:pPr>
            <w:r w:rsidRPr="00D52681">
              <w:rPr>
                <w:rFonts w:ascii="Arial" w:hAnsi="Arial" w:cs="Arial"/>
                <w:color w:val="000000"/>
                <w:szCs w:val="20"/>
              </w:rPr>
              <w:t xml:space="preserve">Reference Committee  </w:t>
            </w:r>
            <w:r w:rsidR="000E7F72">
              <w:rPr>
                <w:rFonts w:ascii="Arial" w:hAnsi="Arial" w:cs="Arial"/>
                <w:color w:val="000000"/>
                <w:szCs w:val="20"/>
              </w:rPr>
              <w:sym w:font="Wingdings" w:char="F06E"/>
            </w:r>
          </w:p>
        </w:tc>
        <w:tc>
          <w:tcPr>
            <w:tcW w:w="2070" w:type="dxa"/>
            <w:shd w:val="pct12" w:color="auto" w:fill="auto"/>
          </w:tcPr>
          <w:p w14:paraId="386E0957" w14:textId="06004606" w:rsidR="00D52681" w:rsidRPr="00D52681" w:rsidRDefault="00D52681" w:rsidP="00D5268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after="0" w:line="240" w:lineRule="auto"/>
              <w:rPr>
                <w:rFonts w:ascii="Arial" w:hAnsi="Arial" w:cs="Arial"/>
                <w:color w:val="000000"/>
                <w:szCs w:val="20"/>
              </w:rPr>
            </w:pPr>
            <w:r w:rsidRPr="00D52681">
              <w:rPr>
                <w:rFonts w:ascii="Arial" w:hAnsi="Arial" w:cs="Arial"/>
                <w:color w:val="000000"/>
                <w:szCs w:val="20"/>
              </w:rPr>
              <w:t xml:space="preserve">Direct to House </w:t>
            </w:r>
            <w:r w:rsidR="000E7F72">
              <w:rPr>
                <w:rFonts w:ascii="Arial" w:hAnsi="Arial" w:cs="Arial"/>
                <w:color w:val="000000"/>
                <w:szCs w:val="20"/>
              </w:rPr>
              <w:sym w:font="Wingdings" w:char="F06F"/>
            </w:r>
          </w:p>
        </w:tc>
      </w:tr>
      <w:tr w:rsidR="00D52681" w:rsidRPr="00D52681" w14:paraId="31813A95" w14:textId="77777777" w:rsidTr="009523C1">
        <w:tc>
          <w:tcPr>
            <w:tcW w:w="2970" w:type="dxa"/>
            <w:gridSpan w:val="3"/>
            <w:shd w:val="pct12" w:color="auto" w:fill="auto"/>
          </w:tcPr>
          <w:p w14:paraId="0E6981C5" w14:textId="77777777" w:rsidR="00D52681" w:rsidRPr="00D52681" w:rsidRDefault="00D52681" w:rsidP="00D5268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after="0" w:line="240" w:lineRule="auto"/>
              <w:rPr>
                <w:rFonts w:ascii="Arial" w:hAnsi="Arial" w:cs="Arial"/>
                <w:color w:val="000000"/>
                <w:szCs w:val="20"/>
              </w:rPr>
            </w:pPr>
            <w:r w:rsidRPr="00D52681">
              <w:rPr>
                <w:rFonts w:ascii="Arial" w:hAnsi="Arial" w:cs="Arial"/>
                <w:color w:val="000000"/>
                <w:szCs w:val="20"/>
              </w:rPr>
              <w:t>Total Financial Implication:</w:t>
            </w:r>
          </w:p>
        </w:tc>
        <w:tc>
          <w:tcPr>
            <w:tcW w:w="6498" w:type="dxa"/>
            <w:gridSpan w:val="7"/>
            <w:shd w:val="pct12" w:color="auto" w:fill="auto"/>
          </w:tcPr>
          <w:p w14:paraId="00A41333" w14:textId="77777777" w:rsidR="00D52681" w:rsidRPr="00D52681" w:rsidRDefault="00D52681" w:rsidP="00D52681">
            <w:pPr>
              <w:widowControl/>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after="0" w:line="240" w:lineRule="auto"/>
              <w:rPr>
                <w:rFonts w:ascii="Arial" w:hAnsi="Arial" w:cs="Arial"/>
                <w:color w:val="000000"/>
                <w:szCs w:val="20"/>
              </w:rPr>
            </w:pPr>
            <w:r w:rsidRPr="00D52681">
              <w:rPr>
                <w:rFonts w:ascii="Arial" w:hAnsi="Arial" w:cs="Arial"/>
                <w:color w:val="000000"/>
                <w:szCs w:val="20"/>
              </w:rPr>
              <w:t>$ none</w:t>
            </w:r>
          </w:p>
        </w:tc>
      </w:tr>
      <w:tr w:rsidR="00D52681" w:rsidRPr="00D52681" w14:paraId="03837BB5" w14:textId="77777777" w:rsidTr="009523C1">
        <w:tc>
          <w:tcPr>
            <w:tcW w:w="2097" w:type="dxa"/>
            <w:gridSpan w:val="2"/>
            <w:shd w:val="pct12" w:color="auto" w:fill="auto"/>
          </w:tcPr>
          <w:p w14:paraId="45B142AB" w14:textId="77777777" w:rsidR="00D52681" w:rsidRPr="00D52681" w:rsidRDefault="00D52681" w:rsidP="00D5268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after="0" w:line="240" w:lineRule="auto"/>
              <w:rPr>
                <w:rFonts w:ascii="Arial" w:hAnsi="Arial" w:cs="Arial"/>
                <w:color w:val="000000"/>
                <w:szCs w:val="20"/>
              </w:rPr>
            </w:pPr>
            <w:r w:rsidRPr="00D52681">
              <w:rPr>
                <w:rFonts w:ascii="Arial" w:hAnsi="Arial" w:cs="Arial"/>
                <w:color w:val="000000"/>
                <w:szCs w:val="20"/>
              </w:rPr>
              <w:t xml:space="preserve">Amount One-time </w:t>
            </w:r>
          </w:p>
        </w:tc>
        <w:tc>
          <w:tcPr>
            <w:tcW w:w="2781" w:type="dxa"/>
            <w:gridSpan w:val="4"/>
            <w:shd w:val="pct12" w:color="auto" w:fill="auto"/>
          </w:tcPr>
          <w:p w14:paraId="3C57659D" w14:textId="77777777" w:rsidR="00D52681" w:rsidRPr="00D52681" w:rsidRDefault="00D52681" w:rsidP="00D5268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after="0" w:line="240" w:lineRule="auto"/>
              <w:rPr>
                <w:rFonts w:ascii="Arial" w:hAnsi="Arial" w:cs="Arial"/>
                <w:color w:val="000000"/>
                <w:szCs w:val="20"/>
              </w:rPr>
            </w:pPr>
            <w:r w:rsidRPr="00D52681">
              <w:rPr>
                <w:rFonts w:ascii="Arial" w:hAnsi="Arial" w:cs="Arial"/>
                <w:color w:val="000000"/>
                <w:szCs w:val="20"/>
              </w:rPr>
              <w:t>$ none</w:t>
            </w:r>
          </w:p>
        </w:tc>
        <w:tc>
          <w:tcPr>
            <w:tcW w:w="2160" w:type="dxa"/>
            <w:gridSpan w:val="2"/>
            <w:shd w:val="pct12" w:color="auto" w:fill="auto"/>
          </w:tcPr>
          <w:p w14:paraId="7FE1FEC4" w14:textId="77777777" w:rsidR="00D52681" w:rsidRPr="00D52681" w:rsidRDefault="00D52681" w:rsidP="00D5268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after="0" w:line="240" w:lineRule="auto"/>
              <w:rPr>
                <w:rFonts w:ascii="Arial" w:hAnsi="Arial" w:cs="Arial"/>
                <w:color w:val="000000"/>
                <w:szCs w:val="20"/>
              </w:rPr>
            </w:pPr>
            <w:r w:rsidRPr="00D52681">
              <w:rPr>
                <w:rFonts w:ascii="Arial" w:hAnsi="Arial" w:cs="Arial"/>
                <w:color w:val="000000"/>
                <w:szCs w:val="20"/>
              </w:rPr>
              <w:t xml:space="preserve">Amount On-going </w:t>
            </w:r>
          </w:p>
        </w:tc>
        <w:tc>
          <w:tcPr>
            <w:tcW w:w="2430" w:type="dxa"/>
            <w:gridSpan w:val="2"/>
            <w:shd w:val="pct12" w:color="auto" w:fill="auto"/>
          </w:tcPr>
          <w:p w14:paraId="1BF79107" w14:textId="77777777" w:rsidR="00D52681" w:rsidRPr="00D52681" w:rsidRDefault="00D52681" w:rsidP="00D52681">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before="200" w:after="0" w:line="240" w:lineRule="auto"/>
              <w:rPr>
                <w:rFonts w:ascii="Arial" w:hAnsi="Arial" w:cs="Arial"/>
                <w:color w:val="000000"/>
                <w:szCs w:val="20"/>
              </w:rPr>
            </w:pPr>
            <w:r w:rsidRPr="00D52681">
              <w:rPr>
                <w:rFonts w:ascii="Arial" w:hAnsi="Arial" w:cs="Arial"/>
                <w:color w:val="000000"/>
                <w:szCs w:val="20"/>
              </w:rPr>
              <w:t>$ none</w:t>
            </w:r>
          </w:p>
        </w:tc>
      </w:tr>
    </w:tbl>
    <w:p w14:paraId="534DDF40" w14:textId="77777777" w:rsidR="00905488" w:rsidRDefault="00905488" w:rsidP="00EF3744">
      <w:pPr>
        <w:widowControl/>
        <w:suppressLineNumbers/>
        <w:spacing w:after="0" w:line="240" w:lineRule="auto"/>
        <w:jc w:val="center"/>
        <w:rPr>
          <w:rFonts w:ascii="Arial" w:hAnsi="Arial" w:cs="Arial"/>
          <w:b/>
          <w:sz w:val="24"/>
          <w:szCs w:val="24"/>
        </w:rPr>
      </w:pPr>
    </w:p>
    <w:p w14:paraId="48BA7318" w14:textId="4EE06661" w:rsidR="00524C85" w:rsidRDefault="00CD7602" w:rsidP="00EF3744">
      <w:pPr>
        <w:widowControl/>
        <w:suppressLineNumbers/>
        <w:spacing w:after="0" w:line="240" w:lineRule="auto"/>
        <w:jc w:val="center"/>
        <w:rPr>
          <w:rFonts w:ascii="Arial" w:hAnsi="Arial" w:cs="Arial"/>
          <w:b/>
          <w:sz w:val="24"/>
          <w:szCs w:val="24"/>
        </w:rPr>
      </w:pPr>
      <w:r w:rsidRPr="00CD7602">
        <w:rPr>
          <w:rFonts w:ascii="Arial" w:hAnsi="Arial" w:cs="Arial"/>
          <w:b/>
          <w:sz w:val="24"/>
          <w:szCs w:val="24"/>
        </w:rPr>
        <w:t>Dental Fellowship Programs</w:t>
      </w:r>
    </w:p>
    <w:p w14:paraId="32FD14C7" w14:textId="77777777" w:rsidR="00CD7602" w:rsidRDefault="00CD7602" w:rsidP="00EF3744">
      <w:pPr>
        <w:widowControl/>
        <w:suppressLineNumbers/>
        <w:spacing w:after="0" w:line="240" w:lineRule="auto"/>
        <w:jc w:val="center"/>
        <w:rPr>
          <w:rFonts w:ascii="Arial" w:hAnsi="Arial" w:cs="Arial"/>
          <w:b/>
          <w:sz w:val="24"/>
          <w:szCs w:val="24"/>
        </w:rPr>
      </w:pPr>
    </w:p>
    <w:p w14:paraId="075F2E5F" w14:textId="77777777" w:rsidR="00CD7602" w:rsidRPr="00CD7602" w:rsidRDefault="00CD7602" w:rsidP="00CD7602">
      <w:pPr>
        <w:rPr>
          <w:rFonts w:ascii="Arial" w:hAnsi="Arial" w:cs="Arial"/>
          <w:sz w:val="24"/>
          <w:szCs w:val="24"/>
        </w:rPr>
      </w:pPr>
      <w:r w:rsidRPr="00CD7602">
        <w:rPr>
          <w:rFonts w:ascii="Arial" w:hAnsi="Arial" w:cs="Arial"/>
          <w:b/>
          <w:bCs/>
          <w:sz w:val="24"/>
          <w:szCs w:val="24"/>
        </w:rPr>
        <w:t xml:space="preserve">Background: </w:t>
      </w:r>
      <w:r w:rsidRPr="00CD7602">
        <w:rPr>
          <w:rFonts w:ascii="Arial" w:hAnsi="Arial" w:cs="Arial"/>
          <w:sz w:val="24"/>
          <w:szCs w:val="24"/>
        </w:rPr>
        <w:t>Dental subspecialty fellowship programs provide advanced training beyond completion of an accredited dental specialty residency. These fellowship programs are accredited by the Commission on Dental Accreditation (CODA) and require prior completion of a CODA-accredited specialty program as a prerequisite for admission.</w:t>
      </w:r>
    </w:p>
    <w:p w14:paraId="53AB1224" w14:textId="77777777" w:rsidR="00CD7602" w:rsidRPr="00CD7602" w:rsidRDefault="00CD7602" w:rsidP="00CD7602">
      <w:pPr>
        <w:rPr>
          <w:rFonts w:ascii="Arial" w:hAnsi="Arial" w:cs="Arial"/>
          <w:sz w:val="24"/>
          <w:szCs w:val="24"/>
        </w:rPr>
      </w:pPr>
      <w:r w:rsidRPr="00CD7602">
        <w:rPr>
          <w:rFonts w:ascii="Arial" w:hAnsi="Arial" w:cs="Arial"/>
          <w:sz w:val="24"/>
          <w:szCs w:val="24"/>
        </w:rPr>
        <w:t xml:space="preserve">Currently, the number of fellowship programs within certain dental subspecialties remains limited and is often concentrated in specific geographic regions. For example, at present, there are only seven (7) maxillofacial prosthetics fellowship programs nationwide, two of which </w:t>
      </w:r>
      <w:proofErr w:type="gramStart"/>
      <w:r w:rsidRPr="00CD7602">
        <w:rPr>
          <w:rFonts w:ascii="Arial" w:hAnsi="Arial" w:cs="Arial"/>
          <w:sz w:val="24"/>
          <w:szCs w:val="24"/>
        </w:rPr>
        <w:t>are located in</w:t>
      </w:r>
      <w:proofErr w:type="gramEnd"/>
      <w:r w:rsidRPr="00CD7602">
        <w:rPr>
          <w:rFonts w:ascii="Arial" w:hAnsi="Arial" w:cs="Arial"/>
          <w:sz w:val="24"/>
          <w:szCs w:val="24"/>
        </w:rPr>
        <w:t xml:space="preserve"> New York State—at Erie County Medical Center and Memorial Sloan Kettering Cancer Center. Patients frequently travel considerable distances to receive care for maxillofacial defects, which may be congenital, traumatic, or oncologic in origin.</w:t>
      </w:r>
    </w:p>
    <w:p w14:paraId="2DE27062" w14:textId="6207F990" w:rsidR="00CD7602" w:rsidRPr="00CD7602" w:rsidRDefault="00CD7602" w:rsidP="00CD7602">
      <w:pPr>
        <w:rPr>
          <w:rFonts w:ascii="Arial" w:hAnsi="Arial" w:cs="Arial"/>
          <w:sz w:val="24"/>
          <w:szCs w:val="24"/>
        </w:rPr>
      </w:pPr>
      <w:r w:rsidRPr="00CD7602">
        <w:rPr>
          <w:rFonts w:ascii="Arial" w:hAnsi="Arial" w:cs="Arial"/>
          <w:sz w:val="24"/>
          <w:szCs w:val="24"/>
        </w:rPr>
        <w:t xml:space="preserve">The demographic profile of matriculants in CODA-accredited dental specialty residency programs has evolved over time, with an increasing number of graduates being foreign nationals. Under current law, many of these individuals are ineligible for licensure in New York State pursuant to New York Education Law § 6604. </w:t>
      </w:r>
    </w:p>
    <w:p w14:paraId="62FE2F40" w14:textId="77777777" w:rsidR="00CD7602" w:rsidRPr="00CD7602" w:rsidRDefault="00CD7602" w:rsidP="00CD7602">
      <w:pPr>
        <w:rPr>
          <w:rFonts w:ascii="Arial" w:hAnsi="Arial" w:cs="Arial"/>
          <w:sz w:val="24"/>
          <w:szCs w:val="24"/>
        </w:rPr>
      </w:pPr>
      <w:proofErr w:type="gramStart"/>
      <w:r w:rsidRPr="00CD7602">
        <w:rPr>
          <w:rFonts w:ascii="Arial" w:hAnsi="Arial" w:cs="Arial"/>
          <w:sz w:val="24"/>
          <w:szCs w:val="24"/>
        </w:rPr>
        <w:t>Moreover, because</w:t>
      </w:r>
      <w:proofErr w:type="gramEnd"/>
      <w:r w:rsidRPr="00CD7602">
        <w:rPr>
          <w:rFonts w:ascii="Arial" w:hAnsi="Arial" w:cs="Arial"/>
          <w:sz w:val="24"/>
          <w:szCs w:val="24"/>
        </w:rPr>
        <w:t xml:space="preserve"> maxillofacial prosthetics programs are structured as fellowships rather than residencies—and do not lead to a specialty certificate recognized for initial licensure—participants in New York State are currently not permitted to practice under the supervision of a licensed faculty member. This </w:t>
      </w:r>
      <w:proofErr w:type="gramStart"/>
      <w:r w:rsidRPr="00CD7602">
        <w:rPr>
          <w:rFonts w:ascii="Arial" w:hAnsi="Arial" w:cs="Arial"/>
          <w:sz w:val="24"/>
          <w:szCs w:val="24"/>
        </w:rPr>
        <w:t>is in contrast to</w:t>
      </w:r>
      <w:proofErr w:type="gramEnd"/>
      <w:r w:rsidRPr="00CD7602">
        <w:rPr>
          <w:rFonts w:ascii="Arial" w:hAnsi="Arial" w:cs="Arial"/>
          <w:sz w:val="24"/>
          <w:szCs w:val="24"/>
        </w:rPr>
        <w:t xml:space="preserve"> trainees in traditional residency programs (see Title 8, Article 133, Section 6605 (5) of New York State Education Law). </w:t>
      </w:r>
    </w:p>
    <w:p w14:paraId="3ABED278" w14:textId="77777777" w:rsidR="00CD7602" w:rsidRPr="00CD7602" w:rsidRDefault="00CD7602" w:rsidP="00CD7602">
      <w:pPr>
        <w:rPr>
          <w:rFonts w:ascii="Arial" w:hAnsi="Arial" w:cs="Arial"/>
          <w:sz w:val="24"/>
          <w:szCs w:val="24"/>
        </w:rPr>
      </w:pPr>
      <w:r w:rsidRPr="00CD7602">
        <w:rPr>
          <w:rFonts w:ascii="Arial" w:hAnsi="Arial" w:cs="Arial"/>
          <w:sz w:val="24"/>
          <w:szCs w:val="24"/>
        </w:rPr>
        <w:t xml:space="preserve">The consequence has been a significant shortage of qualified applicants for maxillofacial fellowship programs and other dental fellowship programs in New York State. Because admission to these programs requires both a New York State dental license and a certificate in a specialty, the pool of eligible candidates is extremely limited. As a result, many otherwise qualified applicants pursue fellowship opportunities </w:t>
      </w:r>
      <w:r w:rsidRPr="00CD7602">
        <w:rPr>
          <w:rFonts w:ascii="Arial" w:hAnsi="Arial" w:cs="Arial"/>
          <w:sz w:val="24"/>
          <w:szCs w:val="24"/>
        </w:rPr>
        <w:lastRenderedPageBreak/>
        <w:t>in other states.</w:t>
      </w:r>
    </w:p>
    <w:p w14:paraId="342B40C5" w14:textId="77777777" w:rsidR="00CD7602" w:rsidRPr="00CD7602" w:rsidRDefault="00CD7602" w:rsidP="00CD7602">
      <w:pPr>
        <w:rPr>
          <w:rFonts w:ascii="Arial" w:hAnsi="Arial" w:cs="Arial"/>
          <w:sz w:val="24"/>
          <w:szCs w:val="24"/>
        </w:rPr>
      </w:pPr>
      <w:r w:rsidRPr="00CD7602">
        <w:rPr>
          <w:rFonts w:ascii="Arial" w:hAnsi="Arial" w:cs="Arial"/>
          <w:sz w:val="24"/>
          <w:szCs w:val="24"/>
        </w:rPr>
        <w:t>Many patients requiring highly specialized dental services, particularly those with cancer or traumatic conditions, are treated at teaching hospitals by residents and attending faculty. When fellowship programs are unable to fill their available positions, it ultimately creates an access-to-care issue for this vulnerable patient population.</w:t>
      </w:r>
    </w:p>
    <w:p w14:paraId="66015F46" w14:textId="77777777" w:rsidR="00CD7602" w:rsidRPr="00CD7602" w:rsidRDefault="00CD7602" w:rsidP="00CD7602">
      <w:pPr>
        <w:rPr>
          <w:rFonts w:ascii="Arial" w:hAnsi="Arial" w:cs="Arial"/>
          <w:sz w:val="24"/>
          <w:szCs w:val="24"/>
        </w:rPr>
      </w:pPr>
      <w:r w:rsidRPr="00CD7602">
        <w:rPr>
          <w:rFonts w:ascii="Arial" w:hAnsi="Arial" w:cs="Arial"/>
          <w:sz w:val="24"/>
          <w:szCs w:val="24"/>
        </w:rPr>
        <w:t>The proposed resolution would authorize matriculants in dental fellowship programs to practice in hospital settings under the supervision of a licensed faculty member, aligning their status with that of dental specialty and general practice residents. Advancing this change is important to sustaining New York State’s fellowship programs and protecting patient access to highly specialized care.</w:t>
      </w:r>
    </w:p>
    <w:p w14:paraId="665607DB" w14:textId="77777777" w:rsidR="00CD7602" w:rsidRPr="00CD7602" w:rsidRDefault="00CD7602" w:rsidP="00CD7602">
      <w:pPr>
        <w:rPr>
          <w:rFonts w:ascii="Arial" w:hAnsi="Arial" w:cs="Arial"/>
          <w:sz w:val="24"/>
          <w:szCs w:val="24"/>
        </w:rPr>
      </w:pPr>
      <w:r w:rsidRPr="00CD7602">
        <w:rPr>
          <w:rFonts w:ascii="Arial" w:hAnsi="Arial" w:cs="Arial"/>
          <w:sz w:val="24"/>
          <w:szCs w:val="24"/>
        </w:rPr>
        <w:t>Without reform, fellowship positions are likely to remain unfilled, placing the state’s remaining programs at risk of scaling back or closing. The consequences would be significant: cancer and trauma patients—already facing complex, life-altering conditions—may be required to travel considerable distances to receive appropriate treatment. This not only has the potential to delay care, but also to increase the financial and emotional burdens on patients and their families.</w:t>
      </w:r>
    </w:p>
    <w:p w14:paraId="598C248D" w14:textId="77777777" w:rsidR="00CD7602" w:rsidRPr="00CD7602" w:rsidRDefault="00CD7602" w:rsidP="00CD7602">
      <w:pPr>
        <w:rPr>
          <w:rFonts w:ascii="Arial" w:hAnsi="Arial" w:cs="Arial"/>
          <w:sz w:val="24"/>
          <w:szCs w:val="24"/>
        </w:rPr>
      </w:pPr>
      <w:r w:rsidRPr="00CD7602">
        <w:rPr>
          <w:rFonts w:ascii="Arial" w:hAnsi="Arial" w:cs="Arial"/>
          <w:sz w:val="24"/>
          <w:szCs w:val="24"/>
        </w:rPr>
        <w:t>At its core, this is an access-to-care issue. Failure to address it will contribute to longer wait times, reduced availability of specialized services, and increased strain on an already limited system. Supporting this resolution represents an important step toward advancing the legislative changes necessary to ensure that New York’s most vulnerable patients continue to receive timely, specialized care closer to home. Accordingly, the following resolution is proposed for consideration by the NYSDA House of Delegates:</w:t>
      </w:r>
    </w:p>
    <w:p w14:paraId="706317E7" w14:textId="77777777" w:rsidR="00CD7602" w:rsidRPr="00CD7602" w:rsidRDefault="00CD7602" w:rsidP="00CD7602">
      <w:pPr>
        <w:rPr>
          <w:rFonts w:ascii="Arial" w:hAnsi="Arial" w:cs="Arial"/>
          <w:sz w:val="24"/>
          <w:szCs w:val="24"/>
        </w:rPr>
      </w:pPr>
    </w:p>
    <w:p w14:paraId="2498DB3A" w14:textId="37E73DBF" w:rsidR="00CD7602" w:rsidRPr="00CD7602" w:rsidRDefault="00CD7602" w:rsidP="00CD7602">
      <w:pPr>
        <w:ind w:left="720"/>
        <w:rPr>
          <w:rFonts w:ascii="Arial" w:hAnsi="Arial" w:cs="Arial"/>
          <w:sz w:val="24"/>
          <w:szCs w:val="24"/>
        </w:rPr>
      </w:pPr>
      <w:r w:rsidRPr="00CD7602">
        <w:rPr>
          <w:rFonts w:ascii="Arial" w:hAnsi="Arial" w:cs="Arial"/>
          <w:b/>
          <w:bCs/>
          <w:sz w:val="24"/>
          <w:szCs w:val="24"/>
        </w:rPr>
        <w:t xml:space="preserve">6. </w:t>
      </w:r>
      <w:r w:rsidRPr="00CD7602">
        <w:rPr>
          <w:rFonts w:ascii="Arial" w:hAnsi="Arial" w:cs="Arial"/>
          <w:b/>
          <w:bCs/>
          <w:sz w:val="24"/>
          <w:szCs w:val="24"/>
        </w:rPr>
        <w:t>Resolved,</w:t>
      </w:r>
      <w:r w:rsidRPr="00CD7602">
        <w:rPr>
          <w:rFonts w:ascii="Arial" w:hAnsi="Arial" w:cs="Arial"/>
          <w:sz w:val="24"/>
          <w:szCs w:val="24"/>
        </w:rPr>
        <w:t xml:space="preserve"> that NYSDA seek to amend NYS Education Law, Section 6610, Section 7, as follows (new language </w:t>
      </w:r>
      <w:r w:rsidRPr="00CD7602">
        <w:rPr>
          <w:rFonts w:ascii="Arial" w:hAnsi="Arial" w:cs="Arial"/>
          <w:sz w:val="24"/>
          <w:szCs w:val="24"/>
          <w:u w:val="single"/>
        </w:rPr>
        <w:t>underscored;</w:t>
      </w:r>
      <w:r w:rsidRPr="00CD7602">
        <w:rPr>
          <w:rFonts w:ascii="Arial" w:hAnsi="Arial" w:cs="Arial"/>
          <w:sz w:val="24"/>
          <w:szCs w:val="24"/>
        </w:rPr>
        <w:t xml:space="preserve"> deleted language </w:t>
      </w:r>
      <w:r w:rsidRPr="00CD7602">
        <w:rPr>
          <w:rFonts w:ascii="Arial" w:hAnsi="Arial" w:cs="Arial"/>
          <w:strike/>
          <w:sz w:val="24"/>
          <w:szCs w:val="24"/>
        </w:rPr>
        <w:t>strikethrough)</w:t>
      </w:r>
      <w:r w:rsidRPr="00CD7602">
        <w:rPr>
          <w:rFonts w:ascii="Arial" w:hAnsi="Arial" w:cs="Arial"/>
          <w:sz w:val="24"/>
          <w:szCs w:val="24"/>
        </w:rPr>
        <w:t>:</w:t>
      </w:r>
    </w:p>
    <w:p w14:paraId="1B3DFED7" w14:textId="77777777" w:rsidR="00CD7602" w:rsidRPr="00CD7602" w:rsidRDefault="00CD7602" w:rsidP="00CD7602">
      <w:pPr>
        <w:ind w:left="720"/>
        <w:rPr>
          <w:rFonts w:ascii="Arial" w:hAnsi="Arial" w:cs="Arial"/>
          <w:sz w:val="24"/>
          <w:szCs w:val="24"/>
        </w:rPr>
      </w:pPr>
      <w:r w:rsidRPr="00CD7602">
        <w:rPr>
          <w:rFonts w:ascii="Arial" w:hAnsi="Arial" w:cs="Arial"/>
          <w:sz w:val="24"/>
          <w:szCs w:val="24"/>
        </w:rPr>
        <w:t xml:space="preserve">§ 6610. Exempt </w:t>
      </w:r>
      <w:proofErr w:type="gramStart"/>
      <w:r w:rsidRPr="00CD7602">
        <w:rPr>
          <w:rFonts w:ascii="Arial" w:hAnsi="Arial" w:cs="Arial"/>
          <w:sz w:val="24"/>
          <w:szCs w:val="24"/>
        </w:rPr>
        <w:t>persons</w:t>
      </w:r>
      <w:proofErr w:type="gramEnd"/>
      <w:r w:rsidRPr="00CD7602">
        <w:rPr>
          <w:rFonts w:ascii="Arial" w:hAnsi="Arial" w:cs="Arial"/>
          <w:sz w:val="24"/>
          <w:szCs w:val="24"/>
        </w:rPr>
        <w:t>. Nothing in this article shall be construed to affect or prevent:</w:t>
      </w:r>
    </w:p>
    <w:p w14:paraId="5C3B0A12" w14:textId="733842D8" w:rsidR="00905488" w:rsidRPr="00E5519F" w:rsidRDefault="00CD7602" w:rsidP="00CD7602">
      <w:pPr>
        <w:ind w:left="720"/>
        <w:rPr>
          <w:rFonts w:ascii="Arial" w:hAnsi="Arial" w:cs="Arial"/>
          <w:b/>
          <w:bCs/>
        </w:rPr>
      </w:pPr>
      <w:r w:rsidRPr="00CD7602">
        <w:rPr>
          <w:rFonts w:ascii="Arial" w:hAnsi="Arial" w:cs="Arial"/>
          <w:sz w:val="24"/>
          <w:szCs w:val="24"/>
        </w:rPr>
        <w:t xml:space="preserve">7.  A dentist licensed in another state or country who is visiting an approved dental school or any other entity operating a residency </w:t>
      </w:r>
      <w:r w:rsidRPr="00CD7602">
        <w:rPr>
          <w:rFonts w:ascii="Arial" w:hAnsi="Arial" w:cs="Arial"/>
          <w:sz w:val="24"/>
          <w:szCs w:val="24"/>
          <w:u w:val="single"/>
        </w:rPr>
        <w:t>or fellowship</w:t>
      </w:r>
      <w:r w:rsidRPr="00CD7602">
        <w:rPr>
          <w:rFonts w:ascii="Arial" w:hAnsi="Arial" w:cs="Arial"/>
          <w:sz w:val="24"/>
          <w:szCs w:val="24"/>
        </w:rPr>
        <w:t xml:space="preserve"> program that has been accredited by a national accrediting body approved by the department to receive dental instruction for a period not to exceed </w:t>
      </w:r>
      <w:r w:rsidRPr="00CD7602">
        <w:rPr>
          <w:rFonts w:ascii="Arial" w:hAnsi="Arial" w:cs="Arial"/>
          <w:strike/>
          <w:sz w:val="24"/>
          <w:szCs w:val="24"/>
        </w:rPr>
        <w:t>ninety days</w:t>
      </w:r>
      <w:r w:rsidRPr="00CD7602">
        <w:rPr>
          <w:rFonts w:ascii="Arial" w:hAnsi="Arial" w:cs="Arial"/>
          <w:sz w:val="24"/>
          <w:szCs w:val="24"/>
        </w:rPr>
        <w:t xml:space="preserve"> </w:t>
      </w:r>
      <w:r w:rsidRPr="00CD7602">
        <w:rPr>
          <w:rFonts w:ascii="Arial" w:hAnsi="Arial" w:cs="Arial"/>
          <w:sz w:val="24"/>
          <w:szCs w:val="24"/>
          <w:u w:val="single"/>
        </w:rPr>
        <w:t>one year</w:t>
      </w:r>
      <w:r w:rsidRPr="00CD7602">
        <w:rPr>
          <w:rFonts w:ascii="Arial" w:hAnsi="Arial" w:cs="Arial"/>
          <w:sz w:val="24"/>
          <w:szCs w:val="24"/>
        </w:rPr>
        <w:t xml:space="preserve"> from engaging in clinical practice, provided such practice is limited to such instruction and is under the direct supervision of a licensed </w:t>
      </w:r>
      <w:r w:rsidRPr="00CA03F1">
        <w:rPr>
          <w:rFonts w:ascii="Times New Roman" w:hAnsi="Times New Roman"/>
        </w:rPr>
        <w:t>dentist.</w:t>
      </w:r>
    </w:p>
    <w:sectPr w:rsidR="00905488" w:rsidRPr="00E5519F" w:rsidSect="00E5519F">
      <w:headerReference w:type="even" r:id="rId8"/>
      <w:headerReference w:type="default" r:id="rId9"/>
      <w:footerReference w:type="even" r:id="rId10"/>
      <w:type w:val="continuous"/>
      <w:pgSz w:w="12240" w:h="15840"/>
      <w:pgMar w:top="1080" w:right="1440" w:bottom="1440" w:left="1440" w:header="720" w:footer="720" w:gutter="0"/>
      <w:lnNumType w:countBy="1" w:restart="continuous"/>
      <w:pgNumType w:start="32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C74DC" w14:textId="77777777" w:rsidR="0063256A" w:rsidRDefault="0063256A" w:rsidP="000D5AC1">
      <w:pPr>
        <w:spacing w:after="0" w:line="240" w:lineRule="auto"/>
      </w:pPr>
      <w:r>
        <w:separator/>
      </w:r>
    </w:p>
  </w:endnote>
  <w:endnote w:type="continuationSeparator" w:id="0">
    <w:p w14:paraId="469A562C" w14:textId="77777777" w:rsidR="0063256A" w:rsidRDefault="0063256A" w:rsidP="000D5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FCEFE" w14:textId="77777777" w:rsidR="00A60D87" w:rsidRDefault="00ED00D6">
    <w:pPr>
      <w:pStyle w:val="Footer"/>
    </w:pPr>
    <w:r>
      <w:rPr>
        <w:noProof/>
        <w:lang w:val="en-US" w:eastAsia="en-US"/>
      </w:rPr>
      <mc:AlternateContent>
        <mc:Choice Requires="wps">
          <w:drawing>
            <wp:anchor distT="0" distB="0" distL="114300" distR="114300" simplePos="0" relativeHeight="251657728" behindDoc="0" locked="0" layoutInCell="1" allowOverlap="1" wp14:anchorId="31E6B564" wp14:editId="7AC993F1">
              <wp:simplePos x="0" y="0"/>
              <wp:positionH relativeFrom="page">
                <wp:align>center</wp:align>
              </wp:positionH>
              <wp:positionV relativeFrom="page">
                <wp:posOffset>9144000</wp:posOffset>
              </wp:positionV>
              <wp:extent cx="2484120" cy="393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393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3D83DB" w14:textId="77777777" w:rsidR="00A60D87" w:rsidRPr="0099521D" w:rsidRDefault="00A60D87" w:rsidP="00A60D87">
                          <w:pPr>
                            <w:jc w:val="center"/>
                            <w:rPr>
                              <w:rFonts w:ascii="Arial" w:hAnsi="Arial" w:cs="Arial"/>
                              <w:sz w:val="24"/>
                              <w:szCs w:val="24"/>
                            </w:rPr>
                          </w:pPr>
                          <w:r w:rsidRPr="0099521D">
                            <w:rPr>
                              <w:rFonts w:ascii="Arial" w:hAnsi="Arial" w:cs="Arial"/>
                              <w:sz w:val="24"/>
                              <w:szCs w:val="24"/>
                            </w:rPr>
                            <w:t>This page intentionally left blank</w:t>
                          </w:r>
                          <w:r>
                            <w:rPr>
                              <w:rFonts w:ascii="Arial" w:hAnsi="Arial" w:cs="Arial"/>
                              <w:sz w:val="24"/>
                              <w:szCs w:val="24"/>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E6B564" id="_x0000_t202" coordsize="21600,21600" o:spt="202" path="m,l,21600r21600,l21600,xe">
              <v:stroke joinstyle="miter"/>
              <v:path gradientshapeok="t" o:connecttype="rect"/>
            </v:shapetype>
            <v:shape id="Text Box 1" o:spid="_x0000_s1026" type="#_x0000_t202" style="position:absolute;margin-left:0;margin-top:10in;width:195.6pt;height:31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8KA8gEAAMoDAAAOAAAAZHJzL2Uyb0RvYy54bWysU1Fv0zAQfkfiP1h+p2m6wrao6TQ6FSGN&#10;gTT4AY7jJBaOz5zdJuXXc3barhpviDxYPp/93X3ffVndjb1he4Vegy15PptzpqyEWtu25D++b9/d&#10;cOaDsLUwYFXJD8rzu/XbN6vBFWoBHZhaISMQ64vBlbwLwRVZ5mWneuFn4JSlZAPYi0AhtlmNYiD0&#10;3mSL+fxDNgDWDkEq7+n0YUrydcJvGiXD16bxKjBTcuotpBXTWsU1W69E0aJwnZbHNsQ/dNELbano&#10;GepBBMF2qP+C6rVE8NCEmYQ+g6bRUiUOxCafv2Lz3AmnEhcSx7uzTP7/wcqn/bP7hiyMH2GkASYS&#10;3j2C/OmZhU0nbKvuEWHolKipcB4lywbni+PTKLUvfASphi9Q05DFLkACGhvsoyrEkxE6DeBwFl2N&#10;gUk6XCxvlvmCUpJyV7dX1/M0lUwUp9cOffikoGdxU3KkoSZ0sX/0IXYjitOVWMyD0fVWG5MCbKuN&#10;QbYXZIBt+hKBV9eMjZctxGcTYjxJNCOziWMYq5GSkW4F9YEII0yGoh+ANh3gb84GMlPJ/a+dQMWZ&#10;+WxJtNt8uYzuS8Hy/XWki5eZ6jIjrCSokgfOpu0mTI7dOdRtR5VOY7onobc6afDS1bFvMkyS5mju&#10;6MjLON16+QXXfwAAAP//AwBQSwMEFAAGAAgAAAAhAA1o96rcAAAACgEAAA8AAABkcnMvZG93bnJl&#10;di54bWxMTz1PwzAQ3ZH4D9YhsVE7oa0gxKkQEgvqQAsDoxsfcUh8DrHThn/PMdHt7r2n91FuZt+L&#10;I46xDaQhWygQSHWwLTUa3t+eb+5AxGTImj4QavjBCJvq8qI0hQ0n2uFxnxrBJhQLo8GlNBRSxtqh&#10;N3ERBiTmPsPoTeJ3bKQdzYnNfS9zpdbSm5Y4wZkBnxzW3X7yHLKN9bQL31/ZtpMfrlub1at70fr6&#10;an58AJFwTv9i+KvP1aHiTocwkY2i18BDEqPLpeKL+dv7LAdxYGilcgWyKuX5hOoXAAD//wMAUEsB&#10;Ai0AFAAGAAgAAAAhALaDOJL+AAAA4QEAABMAAAAAAAAAAAAAAAAAAAAAAFtDb250ZW50X1R5cGVz&#10;XS54bWxQSwECLQAUAAYACAAAACEAOP0h/9YAAACUAQAACwAAAAAAAAAAAAAAAAAvAQAAX3JlbHMv&#10;LnJlbHNQSwECLQAUAAYACAAAACEA5QfCgPIBAADKAwAADgAAAAAAAAAAAAAAAAAuAgAAZHJzL2Uy&#10;b0RvYy54bWxQSwECLQAUAAYACAAAACEADWj3qtwAAAAKAQAADwAAAAAAAAAAAAAAAABMBAAAZHJz&#10;L2Rvd25yZXYueG1sUEsFBgAAAAAEAAQA8wAAAFUFAAAAAA==&#10;" stroked="f">
              <v:textbox style="mso-fit-shape-to-text:t">
                <w:txbxContent>
                  <w:p w14:paraId="223D83DB" w14:textId="77777777" w:rsidR="00A60D87" w:rsidRPr="0099521D" w:rsidRDefault="00A60D87" w:rsidP="00A60D87">
                    <w:pPr>
                      <w:jc w:val="center"/>
                      <w:rPr>
                        <w:rFonts w:ascii="Arial" w:hAnsi="Arial" w:cs="Arial"/>
                        <w:sz w:val="24"/>
                        <w:szCs w:val="24"/>
                      </w:rPr>
                    </w:pPr>
                    <w:r w:rsidRPr="0099521D">
                      <w:rPr>
                        <w:rFonts w:ascii="Arial" w:hAnsi="Arial" w:cs="Arial"/>
                        <w:sz w:val="24"/>
                        <w:szCs w:val="24"/>
                      </w:rPr>
                      <w:t>This page intentionally left blank</w:t>
                    </w:r>
                    <w:r>
                      <w:rPr>
                        <w:rFonts w:ascii="Arial" w:hAnsi="Arial" w:cs="Arial"/>
                        <w:sz w:val="24"/>
                        <w:szCs w:val="24"/>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E8B5A" w14:textId="77777777" w:rsidR="0063256A" w:rsidRDefault="0063256A" w:rsidP="000D5AC1">
      <w:pPr>
        <w:spacing w:after="0" w:line="240" w:lineRule="auto"/>
      </w:pPr>
      <w:r>
        <w:separator/>
      </w:r>
    </w:p>
  </w:footnote>
  <w:footnote w:type="continuationSeparator" w:id="0">
    <w:p w14:paraId="2BD1C9E8" w14:textId="77777777" w:rsidR="0063256A" w:rsidRDefault="0063256A" w:rsidP="000D5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02901" w14:textId="360E5DC4" w:rsidR="00DA0EF0" w:rsidRPr="00114574" w:rsidRDefault="00E1208E" w:rsidP="000D5AC1">
    <w:pPr>
      <w:pStyle w:val="Header"/>
      <w:rPr>
        <w:rFonts w:ascii="Arial" w:hAnsi="Arial" w:cs="Arial"/>
        <w:sz w:val="22"/>
        <w:szCs w:val="22"/>
      </w:rPr>
    </w:pPr>
    <w:r>
      <w:rPr>
        <w:rFonts w:ascii="Arial" w:hAnsi="Arial" w:cs="Arial"/>
        <w:noProof/>
        <w:sz w:val="22"/>
        <w:szCs w:val="22"/>
        <w:lang w:val="en-US"/>
      </w:rPr>
      <w:t>XXX</w:t>
    </w:r>
    <w:r w:rsidR="00DA0EF0" w:rsidRPr="00114574">
      <w:rPr>
        <w:rFonts w:ascii="Arial" w:hAnsi="Arial" w:cs="Arial"/>
        <w:noProof/>
        <w:sz w:val="22"/>
        <w:szCs w:val="22"/>
      </w:rPr>
      <w:tab/>
    </w:r>
    <w:r w:rsidR="00DA0EF0" w:rsidRPr="00114574">
      <w:rPr>
        <w:rFonts w:ascii="Arial" w:hAnsi="Arial" w:cs="Arial"/>
        <w:noProof/>
        <w:sz w:val="22"/>
        <w:szCs w:val="22"/>
      </w:rPr>
      <w:tab/>
    </w:r>
    <w:r>
      <w:rPr>
        <w:rFonts w:ascii="Arial" w:hAnsi="Arial" w:cs="Arial"/>
        <w:noProof/>
        <w:sz w:val="22"/>
        <w:szCs w:val="22"/>
        <w:lang w:val="en-US"/>
      </w:rPr>
      <w:t>June 2015-H</w:t>
    </w:r>
    <w:r w:rsidR="00DA0EF0" w:rsidRPr="00114574">
      <w:rPr>
        <w:rFonts w:ascii="Arial" w:hAnsi="Arial" w:cs="Arial"/>
        <w:noProof/>
        <w:sz w:val="22"/>
        <w:szCs w:val="22"/>
      </w:rPr>
      <w:tab/>
    </w:r>
    <w:r w:rsidR="00DA0EF0" w:rsidRPr="00114574">
      <w:rPr>
        <w:rFonts w:ascii="Arial" w:hAnsi="Arial" w:cs="Arial"/>
        <w:noProof/>
        <w:sz w:val="22"/>
        <w:szCs w:val="22"/>
      </w:rPr>
      <w:tab/>
    </w:r>
    <w:r w:rsidR="00DA0EF0" w:rsidRPr="00114574">
      <w:rPr>
        <w:rFonts w:ascii="Arial" w:hAnsi="Arial" w:cs="Arial"/>
        <w:noProof/>
        <w:sz w:val="22"/>
        <w:szCs w:val="22"/>
      </w:rPr>
      <w:tab/>
    </w:r>
    <w:r w:rsidR="00DA0EF0" w:rsidRPr="00114574">
      <w:rPr>
        <w:rFonts w:ascii="Arial" w:hAnsi="Arial" w:cs="Arial"/>
        <w:noProof/>
        <w:sz w:val="22"/>
        <w:szCs w:val="22"/>
      </w:rPr>
      <w:tab/>
    </w:r>
    <w:r w:rsidR="00DA0EF0" w:rsidRPr="00114574">
      <w:rPr>
        <w:rFonts w:ascii="Arial" w:hAnsi="Arial" w:cs="Arial"/>
        <w:noProof/>
        <w:sz w:val="22"/>
        <w:szCs w:val="22"/>
      </w:rPr>
      <w:tab/>
    </w:r>
    <w:r w:rsidR="00DA0EF0" w:rsidRPr="00114574">
      <w:rPr>
        <w:rFonts w:ascii="Arial" w:hAnsi="Arial" w:cs="Arial"/>
        <w:sz w:val="22"/>
        <w:szCs w:val="22"/>
      </w:rPr>
      <w:tab/>
    </w:r>
    <w:r w:rsidR="00DA0EF0" w:rsidRPr="00114574">
      <w:rPr>
        <w:rFonts w:ascii="Arial" w:hAnsi="Arial" w:cs="Arial"/>
        <w:sz w:val="22"/>
        <w:szCs w:val="22"/>
      </w:rPr>
      <w:tab/>
    </w:r>
  </w:p>
  <w:p w14:paraId="3F31D385" w14:textId="77777777" w:rsidR="00DA0EF0" w:rsidRPr="00114574" w:rsidRDefault="005C6533" w:rsidP="000D5AC1">
    <w:pPr>
      <w:widowControl/>
      <w:tabs>
        <w:tab w:val="center" w:pos="4680"/>
        <w:tab w:val="right" w:pos="9360"/>
      </w:tabs>
      <w:spacing w:after="0" w:line="240" w:lineRule="auto"/>
      <w:rPr>
        <w:rFonts w:ascii="Arial" w:hAnsi="Arial" w:cs="Arial"/>
      </w:rPr>
    </w:pPr>
    <w:r w:rsidRPr="00114574">
      <w:rPr>
        <w:rFonts w:ascii="Arial" w:hAnsi="Arial" w:cs="Arial"/>
      </w:rPr>
      <w:t>Board of Trustees</w:t>
    </w:r>
  </w:p>
  <w:p w14:paraId="758C6C15" w14:textId="77777777" w:rsidR="005C6533" w:rsidRPr="00114574" w:rsidRDefault="005C6533" w:rsidP="000D5AC1">
    <w:pPr>
      <w:widowControl/>
      <w:tabs>
        <w:tab w:val="center" w:pos="4680"/>
        <w:tab w:val="right" w:pos="9360"/>
      </w:tabs>
      <w:spacing w:after="0" w:line="240" w:lineRule="auto"/>
      <w:rPr>
        <w:rFonts w:ascii="Arial" w:hAnsi="Arial" w:cs="Arial"/>
      </w:rPr>
    </w:pPr>
    <w:r w:rsidRPr="00114574">
      <w:rPr>
        <w:rFonts w:ascii="Arial" w:hAnsi="Arial" w:cs="Arial"/>
      </w:rPr>
      <w:t>ADA Delegate/Alternate Delegate Nominations</w:t>
    </w:r>
  </w:p>
  <w:p w14:paraId="271B4882" w14:textId="77777777" w:rsidR="00DA0EF0" w:rsidRDefault="00DA0EF0" w:rsidP="000D5AC1">
    <w:pPr>
      <w:widowControl/>
      <w:tabs>
        <w:tab w:val="center" w:pos="4680"/>
        <w:tab w:val="right" w:pos="9360"/>
      </w:tabs>
      <w:spacing w:after="0" w:line="240" w:lineRule="auto"/>
      <w:rPr>
        <w:rFonts w:ascii="Arial" w:hAnsi="Arial" w:cs="Arial"/>
      </w:rPr>
    </w:pPr>
    <w:r w:rsidRPr="00114574">
      <w:rPr>
        <w:rFonts w:ascii="Arial" w:hAnsi="Arial" w:cs="Arial"/>
      </w:rPr>
      <w:t>DIRECT</w:t>
    </w:r>
  </w:p>
  <w:p w14:paraId="5CB965D6" w14:textId="77777777" w:rsidR="004A63DB" w:rsidRPr="00114574" w:rsidRDefault="004A63DB" w:rsidP="000D5AC1">
    <w:pPr>
      <w:widowControl/>
      <w:tabs>
        <w:tab w:val="center" w:pos="4680"/>
        <w:tab w:val="right" w:pos="9360"/>
      </w:tabs>
      <w:spacing w:after="0" w:line="240" w:lineRule="auto"/>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8121E" w14:textId="71D8C258" w:rsidR="00DA0EF0" w:rsidRDefault="00CD7602" w:rsidP="000D5AC1">
    <w:pPr>
      <w:pStyle w:val="Header"/>
      <w:rPr>
        <w:rFonts w:ascii="Arial" w:hAnsi="Arial" w:cs="Arial"/>
        <w:sz w:val="22"/>
        <w:szCs w:val="22"/>
        <w:lang w:val="en-US"/>
      </w:rPr>
    </w:pPr>
    <w:r>
      <w:rPr>
        <w:rFonts w:ascii="Arial" w:hAnsi="Arial" w:cs="Arial"/>
        <w:sz w:val="22"/>
        <w:szCs w:val="22"/>
        <w:lang w:val="en-US"/>
      </w:rPr>
      <w:t>June</w:t>
    </w:r>
    <w:r w:rsidR="00032EB8">
      <w:rPr>
        <w:rFonts w:ascii="Arial" w:hAnsi="Arial" w:cs="Arial"/>
        <w:sz w:val="22"/>
        <w:szCs w:val="22"/>
        <w:lang w:val="en-US"/>
      </w:rPr>
      <w:t xml:space="preserve"> 202</w:t>
    </w:r>
    <w:r>
      <w:rPr>
        <w:rFonts w:ascii="Arial" w:hAnsi="Arial" w:cs="Arial"/>
        <w:sz w:val="22"/>
        <w:szCs w:val="22"/>
        <w:lang w:val="en-US"/>
      </w:rPr>
      <w:t>6</w:t>
    </w:r>
    <w:r w:rsidR="00DA0EF0" w:rsidRPr="00114574">
      <w:rPr>
        <w:rFonts w:ascii="Arial" w:hAnsi="Arial" w:cs="Arial"/>
        <w:sz w:val="22"/>
        <w:szCs w:val="22"/>
      </w:rPr>
      <w:t>-H</w:t>
    </w:r>
    <w:r w:rsidR="00DA0EF0" w:rsidRPr="00114574">
      <w:rPr>
        <w:rFonts w:ascii="Arial" w:hAnsi="Arial" w:cs="Arial"/>
        <w:sz w:val="22"/>
        <w:szCs w:val="22"/>
      </w:rPr>
      <w:tab/>
    </w:r>
    <w:r w:rsidR="00DA0EF0" w:rsidRPr="00114574">
      <w:rPr>
        <w:rFonts w:ascii="Arial" w:hAnsi="Arial" w:cs="Arial"/>
        <w:sz w:val="22"/>
        <w:szCs w:val="22"/>
      </w:rPr>
      <w:tab/>
    </w:r>
    <w:r w:rsidR="00EF3744" w:rsidRPr="00EF3744">
      <w:rPr>
        <w:rFonts w:ascii="Arial" w:hAnsi="Arial" w:cs="Arial"/>
        <w:sz w:val="22"/>
        <w:szCs w:val="22"/>
      </w:rPr>
      <w:fldChar w:fldCharType="begin"/>
    </w:r>
    <w:r w:rsidR="00EF3744" w:rsidRPr="00EF3744">
      <w:rPr>
        <w:rFonts w:ascii="Arial" w:hAnsi="Arial" w:cs="Arial"/>
        <w:sz w:val="22"/>
        <w:szCs w:val="22"/>
      </w:rPr>
      <w:instrText xml:space="preserve"> PAGE   \* MERGEFORMAT </w:instrText>
    </w:r>
    <w:r w:rsidR="00EF3744" w:rsidRPr="00EF3744">
      <w:rPr>
        <w:rFonts w:ascii="Arial" w:hAnsi="Arial" w:cs="Arial"/>
        <w:sz w:val="22"/>
        <w:szCs w:val="22"/>
      </w:rPr>
      <w:fldChar w:fldCharType="separate"/>
    </w:r>
    <w:r w:rsidR="00EF3744" w:rsidRPr="00EF3744">
      <w:rPr>
        <w:rFonts w:ascii="Arial" w:hAnsi="Arial" w:cs="Arial"/>
        <w:noProof/>
        <w:sz w:val="22"/>
        <w:szCs w:val="22"/>
      </w:rPr>
      <w:t>1</w:t>
    </w:r>
    <w:r w:rsidR="00EF3744" w:rsidRPr="00EF3744">
      <w:rPr>
        <w:rFonts w:ascii="Arial" w:hAnsi="Arial" w:cs="Arial"/>
        <w:noProof/>
        <w:sz w:val="22"/>
        <w:szCs w:val="22"/>
      </w:rPr>
      <w:fldChar w:fldCharType="end"/>
    </w:r>
  </w:p>
  <w:p w14:paraId="721BD612" w14:textId="5CDE2B72" w:rsidR="00DA0EF0" w:rsidRPr="00114574" w:rsidRDefault="00905488" w:rsidP="000D5AC1">
    <w:pPr>
      <w:widowControl/>
      <w:tabs>
        <w:tab w:val="center" w:pos="4680"/>
        <w:tab w:val="right" w:pos="9360"/>
      </w:tabs>
      <w:spacing w:after="0" w:line="240" w:lineRule="auto"/>
      <w:jc w:val="right"/>
      <w:rPr>
        <w:rFonts w:ascii="Arial" w:hAnsi="Arial" w:cs="Arial"/>
      </w:rPr>
    </w:pPr>
    <w:r>
      <w:rPr>
        <w:rFonts w:ascii="Arial" w:hAnsi="Arial" w:cs="Arial"/>
      </w:rPr>
      <w:t>CDEL</w:t>
    </w:r>
  </w:p>
  <w:p w14:paraId="13A634D3" w14:textId="1AD4F156" w:rsidR="00DA0EF0" w:rsidRPr="00114574" w:rsidRDefault="000E7F72" w:rsidP="000D5AC1">
    <w:pPr>
      <w:widowControl/>
      <w:tabs>
        <w:tab w:val="center" w:pos="4680"/>
        <w:tab w:val="right" w:pos="9360"/>
      </w:tabs>
      <w:spacing w:after="0" w:line="240" w:lineRule="auto"/>
      <w:jc w:val="right"/>
      <w:rPr>
        <w:rFonts w:ascii="Arial" w:hAnsi="Arial" w:cs="Arial"/>
      </w:rPr>
    </w:pPr>
    <w:r>
      <w:rPr>
        <w:rFonts w:ascii="Arial" w:hAnsi="Arial" w:cs="Arial"/>
      </w:rPr>
      <w:t>Reference Committee</w:t>
    </w:r>
  </w:p>
  <w:p w14:paraId="6A453EE4" w14:textId="77777777" w:rsidR="00DA0EF0" w:rsidRDefault="00DA0E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43C26"/>
    <w:multiLevelType w:val="hybridMultilevel"/>
    <w:tmpl w:val="8A7AD9D8"/>
    <w:lvl w:ilvl="0" w:tplc="78F850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150711"/>
    <w:multiLevelType w:val="hybridMultilevel"/>
    <w:tmpl w:val="749E6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12C0DF0"/>
    <w:multiLevelType w:val="hybridMultilevel"/>
    <w:tmpl w:val="D21C217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42921768">
    <w:abstractNumId w:val="2"/>
  </w:num>
  <w:num w:numId="2" w16cid:durableId="1375228621">
    <w:abstractNumId w:val="0"/>
  </w:num>
  <w:num w:numId="3" w16cid:durableId="18707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681"/>
    <w:rsid w:val="00020697"/>
    <w:rsid w:val="00023C62"/>
    <w:rsid w:val="00032EB8"/>
    <w:rsid w:val="00042033"/>
    <w:rsid w:val="00061841"/>
    <w:rsid w:val="00090065"/>
    <w:rsid w:val="00093436"/>
    <w:rsid w:val="000A7C02"/>
    <w:rsid w:val="000D5AC1"/>
    <w:rsid w:val="000E0D7A"/>
    <w:rsid w:val="000E1EC4"/>
    <w:rsid w:val="000E7F72"/>
    <w:rsid w:val="000F76E6"/>
    <w:rsid w:val="00114574"/>
    <w:rsid w:val="00136D96"/>
    <w:rsid w:val="0016415D"/>
    <w:rsid w:val="00175217"/>
    <w:rsid w:val="001813BC"/>
    <w:rsid w:val="001964BD"/>
    <w:rsid w:val="001F4082"/>
    <w:rsid w:val="00203A5B"/>
    <w:rsid w:val="00217867"/>
    <w:rsid w:val="00243B1D"/>
    <w:rsid w:val="002623AA"/>
    <w:rsid w:val="00267DE4"/>
    <w:rsid w:val="002740AA"/>
    <w:rsid w:val="002770AE"/>
    <w:rsid w:val="002D6036"/>
    <w:rsid w:val="002D6109"/>
    <w:rsid w:val="00316FEC"/>
    <w:rsid w:val="00343AFB"/>
    <w:rsid w:val="00345141"/>
    <w:rsid w:val="00360474"/>
    <w:rsid w:val="00375595"/>
    <w:rsid w:val="003840EB"/>
    <w:rsid w:val="003A36F8"/>
    <w:rsid w:val="003C61F6"/>
    <w:rsid w:val="003E6830"/>
    <w:rsid w:val="003F36B4"/>
    <w:rsid w:val="0040104C"/>
    <w:rsid w:val="0040700B"/>
    <w:rsid w:val="00431BB5"/>
    <w:rsid w:val="00431C0B"/>
    <w:rsid w:val="004442B5"/>
    <w:rsid w:val="00472CAD"/>
    <w:rsid w:val="0048466A"/>
    <w:rsid w:val="0049102B"/>
    <w:rsid w:val="0049727E"/>
    <w:rsid w:val="004A0459"/>
    <w:rsid w:val="004A63DB"/>
    <w:rsid w:val="004B1FD6"/>
    <w:rsid w:val="004B7F91"/>
    <w:rsid w:val="004D5CA6"/>
    <w:rsid w:val="004F20BF"/>
    <w:rsid w:val="005213E6"/>
    <w:rsid w:val="005230E3"/>
    <w:rsid w:val="00524C85"/>
    <w:rsid w:val="005624BE"/>
    <w:rsid w:val="0056352E"/>
    <w:rsid w:val="005C6533"/>
    <w:rsid w:val="005D72B1"/>
    <w:rsid w:val="005F58DD"/>
    <w:rsid w:val="0063256A"/>
    <w:rsid w:val="006439D1"/>
    <w:rsid w:val="00645C7D"/>
    <w:rsid w:val="00667575"/>
    <w:rsid w:val="00670453"/>
    <w:rsid w:val="006878D3"/>
    <w:rsid w:val="006C7F2F"/>
    <w:rsid w:val="006E6A24"/>
    <w:rsid w:val="007603F0"/>
    <w:rsid w:val="007A7F64"/>
    <w:rsid w:val="007C606C"/>
    <w:rsid w:val="007D7C25"/>
    <w:rsid w:val="008207DC"/>
    <w:rsid w:val="008464E7"/>
    <w:rsid w:val="0086275F"/>
    <w:rsid w:val="008A31DA"/>
    <w:rsid w:val="008D28FC"/>
    <w:rsid w:val="008E3D16"/>
    <w:rsid w:val="008E53D7"/>
    <w:rsid w:val="009022B2"/>
    <w:rsid w:val="00905488"/>
    <w:rsid w:val="00912CC7"/>
    <w:rsid w:val="009523C1"/>
    <w:rsid w:val="00987B2F"/>
    <w:rsid w:val="00990323"/>
    <w:rsid w:val="00990BD4"/>
    <w:rsid w:val="009A3DFE"/>
    <w:rsid w:val="009B2F79"/>
    <w:rsid w:val="009C19B8"/>
    <w:rsid w:val="00A03B06"/>
    <w:rsid w:val="00A27456"/>
    <w:rsid w:val="00A53937"/>
    <w:rsid w:val="00A60D87"/>
    <w:rsid w:val="00A630BA"/>
    <w:rsid w:val="00A8265A"/>
    <w:rsid w:val="00A95837"/>
    <w:rsid w:val="00AA565F"/>
    <w:rsid w:val="00AB6FEA"/>
    <w:rsid w:val="00B03080"/>
    <w:rsid w:val="00B031E3"/>
    <w:rsid w:val="00B0352E"/>
    <w:rsid w:val="00B04166"/>
    <w:rsid w:val="00B70AC5"/>
    <w:rsid w:val="00B81E92"/>
    <w:rsid w:val="00BA33E9"/>
    <w:rsid w:val="00BE2E5E"/>
    <w:rsid w:val="00C008F6"/>
    <w:rsid w:val="00C120C2"/>
    <w:rsid w:val="00C15744"/>
    <w:rsid w:val="00C50B1E"/>
    <w:rsid w:val="00C57FD4"/>
    <w:rsid w:val="00C70888"/>
    <w:rsid w:val="00CD60FE"/>
    <w:rsid w:val="00CD7602"/>
    <w:rsid w:val="00CE5E1A"/>
    <w:rsid w:val="00D12B3A"/>
    <w:rsid w:val="00D31B1F"/>
    <w:rsid w:val="00D43E03"/>
    <w:rsid w:val="00D52681"/>
    <w:rsid w:val="00D54C70"/>
    <w:rsid w:val="00D76811"/>
    <w:rsid w:val="00D816D1"/>
    <w:rsid w:val="00D96E65"/>
    <w:rsid w:val="00DA0EF0"/>
    <w:rsid w:val="00E1208E"/>
    <w:rsid w:val="00E2238D"/>
    <w:rsid w:val="00E22882"/>
    <w:rsid w:val="00E27F05"/>
    <w:rsid w:val="00E5519F"/>
    <w:rsid w:val="00E577FB"/>
    <w:rsid w:val="00E6256E"/>
    <w:rsid w:val="00E70622"/>
    <w:rsid w:val="00E72E9F"/>
    <w:rsid w:val="00ED00D6"/>
    <w:rsid w:val="00ED2692"/>
    <w:rsid w:val="00EF3744"/>
    <w:rsid w:val="00F038CF"/>
    <w:rsid w:val="00F263B4"/>
    <w:rsid w:val="00F45B64"/>
    <w:rsid w:val="00F543CF"/>
    <w:rsid w:val="00F95CD4"/>
    <w:rsid w:val="00F9607C"/>
    <w:rsid w:val="00FA3E30"/>
    <w:rsid w:val="00FC5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98F0B"/>
  <w15:chartTrackingRefBased/>
  <w15:docId w15:val="{7309CFC4-7CFA-411C-A5B5-87FA85759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681"/>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52681"/>
  </w:style>
  <w:style w:type="paragraph" w:styleId="Header">
    <w:name w:val="header"/>
    <w:basedOn w:val="Normal"/>
    <w:link w:val="HeaderChar"/>
    <w:uiPriority w:val="99"/>
    <w:unhideWhenUsed/>
    <w:rsid w:val="000D5AC1"/>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0D5AC1"/>
    <w:rPr>
      <w:rFonts w:ascii="Calibri" w:eastAsia="Calibri" w:hAnsi="Calibri" w:cs="Times New Roman"/>
    </w:rPr>
  </w:style>
  <w:style w:type="paragraph" w:styleId="Footer">
    <w:name w:val="footer"/>
    <w:basedOn w:val="Normal"/>
    <w:link w:val="FooterChar"/>
    <w:uiPriority w:val="99"/>
    <w:unhideWhenUsed/>
    <w:rsid w:val="000D5AC1"/>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0D5AC1"/>
    <w:rPr>
      <w:rFonts w:ascii="Calibri" w:eastAsia="Calibri" w:hAnsi="Calibri" w:cs="Times New Roman"/>
    </w:rPr>
  </w:style>
  <w:style w:type="paragraph" w:styleId="BalloonText">
    <w:name w:val="Balloon Text"/>
    <w:basedOn w:val="Normal"/>
    <w:link w:val="BalloonTextChar"/>
    <w:uiPriority w:val="99"/>
    <w:semiHidden/>
    <w:unhideWhenUsed/>
    <w:rsid w:val="000D5AC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D5AC1"/>
    <w:rPr>
      <w:rFonts w:ascii="Tahoma" w:eastAsia="Calibri" w:hAnsi="Tahoma" w:cs="Tahoma"/>
      <w:sz w:val="16"/>
      <w:szCs w:val="16"/>
    </w:rPr>
  </w:style>
  <w:style w:type="paragraph" w:customStyle="1" w:styleId="Default">
    <w:name w:val="Default"/>
    <w:rsid w:val="00A8265A"/>
    <w:pPr>
      <w:autoSpaceDE w:val="0"/>
      <w:autoSpaceDN w:val="0"/>
      <w:adjustRightInd w:val="0"/>
    </w:pPr>
    <w:rPr>
      <w:rFonts w:ascii="Arial" w:eastAsiaTheme="minorHAnsi" w:hAnsi="Arial" w:cs="Arial"/>
      <w:color w:val="000000"/>
      <w:sz w:val="24"/>
      <w:szCs w:val="24"/>
    </w:rPr>
  </w:style>
  <w:style w:type="paragraph" w:styleId="ListParagraph">
    <w:name w:val="List Paragraph"/>
    <w:basedOn w:val="Normal"/>
    <w:uiPriority w:val="34"/>
    <w:qFormat/>
    <w:rsid w:val="005D72B1"/>
    <w:pPr>
      <w:widowControl/>
      <w:spacing w:after="0" w:line="240" w:lineRule="auto"/>
      <w:ind w:left="720"/>
      <w:contextualSpacing/>
    </w:pPr>
    <w:rPr>
      <w:rFonts w:ascii="Times New Roman" w:eastAsiaTheme="minorHAnsi" w:hAnsi="Times New Roman"/>
      <w:color w:val="0D0D0D" w:themeColor="text1" w:themeTint="F2"/>
      <w:sz w:val="24"/>
      <w:szCs w:val="24"/>
    </w:rPr>
  </w:style>
  <w:style w:type="paragraph" w:styleId="BodyTextIndent2">
    <w:name w:val="Body Text Indent 2"/>
    <w:basedOn w:val="Normal"/>
    <w:link w:val="BodyTextIndent2Char"/>
    <w:unhideWhenUsed/>
    <w:qFormat/>
    <w:rsid w:val="005D72B1"/>
    <w:pPr>
      <w:widowControl/>
      <w:spacing w:after="0" w:line="240" w:lineRule="auto"/>
      <w:ind w:left="-399"/>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qFormat/>
    <w:rsid w:val="005D72B1"/>
    <w:rPr>
      <w:rFonts w:ascii="Times New Roman" w:eastAsia="Times New Roman" w:hAnsi="Times New Roman"/>
      <w:sz w:val="24"/>
      <w:szCs w:val="24"/>
    </w:rPr>
  </w:style>
  <w:style w:type="paragraph" w:styleId="BodyText">
    <w:name w:val="Body Text"/>
    <w:basedOn w:val="Normal"/>
    <w:link w:val="BodyTextChar"/>
    <w:semiHidden/>
    <w:unhideWhenUsed/>
    <w:rsid w:val="005D72B1"/>
    <w:pPr>
      <w:widowControl/>
      <w:spacing w:after="120" w:line="240" w:lineRule="auto"/>
    </w:pPr>
    <w:rPr>
      <w:rFonts w:ascii="Arial" w:eastAsia="Times New Roman" w:hAnsi="Arial"/>
      <w:sz w:val="24"/>
      <w:szCs w:val="24"/>
    </w:rPr>
  </w:style>
  <w:style w:type="character" w:customStyle="1" w:styleId="BodyTextChar">
    <w:name w:val="Body Text Char"/>
    <w:basedOn w:val="DefaultParagraphFont"/>
    <w:link w:val="BodyText"/>
    <w:semiHidden/>
    <w:rsid w:val="005D72B1"/>
    <w:rPr>
      <w:rFonts w:ascii="Arial" w:eastAsia="Times New Roman" w:hAnsi="Arial"/>
      <w:sz w:val="24"/>
      <w:szCs w:val="24"/>
    </w:rPr>
  </w:style>
  <w:style w:type="character" w:styleId="Hyperlink">
    <w:name w:val="Hyperlink"/>
    <w:basedOn w:val="DefaultParagraphFont"/>
    <w:uiPriority w:val="99"/>
    <w:semiHidden/>
    <w:unhideWhenUsed/>
    <w:rsid w:val="00905488"/>
    <w:rPr>
      <w:color w:val="0000FF"/>
      <w:u w:val="single"/>
    </w:rPr>
  </w:style>
  <w:style w:type="character" w:styleId="Strong">
    <w:name w:val="Strong"/>
    <w:basedOn w:val="DefaultParagraphFont"/>
    <w:uiPriority w:val="22"/>
    <w:qFormat/>
    <w:rsid w:val="00905488"/>
    <w:rPr>
      <w:b/>
      <w:bCs/>
    </w:rPr>
  </w:style>
  <w:style w:type="character" w:styleId="Emphasis">
    <w:name w:val="Emphasis"/>
    <w:basedOn w:val="DefaultParagraphFont"/>
    <w:uiPriority w:val="20"/>
    <w:qFormat/>
    <w:rsid w:val="009054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447111">
      <w:bodyDiv w:val="1"/>
      <w:marLeft w:val="0"/>
      <w:marRight w:val="0"/>
      <w:marTop w:val="0"/>
      <w:marBottom w:val="0"/>
      <w:divBdr>
        <w:top w:val="none" w:sz="0" w:space="0" w:color="auto"/>
        <w:left w:val="none" w:sz="0" w:space="0" w:color="auto"/>
        <w:bottom w:val="none" w:sz="0" w:space="0" w:color="auto"/>
        <w:right w:val="none" w:sz="0" w:space="0" w:color="auto"/>
      </w:divBdr>
    </w:div>
    <w:div w:id="88502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B4776-5C3C-4D60-B1C5-D84454645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746</Words>
  <Characters>4030</Characters>
  <Application>Microsoft Office Word</Application>
  <DocSecurity>0</DocSecurity>
  <Lines>149</Lines>
  <Paragraphs>108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Wanek</dc:creator>
  <cp:keywords/>
  <cp:lastModifiedBy>Jenna Bell</cp:lastModifiedBy>
  <cp:revision>3</cp:revision>
  <cp:lastPrinted>2025-04-14T18:22:00Z</cp:lastPrinted>
  <dcterms:created xsi:type="dcterms:W3CDTF">2026-04-21T18:13:00Z</dcterms:created>
  <dcterms:modified xsi:type="dcterms:W3CDTF">2026-04-21T18:15:00Z</dcterms:modified>
</cp:coreProperties>
</file>